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740CD" w14:textId="77777777" w:rsidR="00D37BA9" w:rsidRPr="001F0F0C" w:rsidRDefault="005D7482" w:rsidP="00D11D61">
      <w:pPr>
        <w:spacing w:after="0"/>
        <w:rPr>
          <w:rFonts w:ascii="Arial" w:hAnsi="Arial" w:cs="Arial"/>
          <w:b/>
        </w:rPr>
      </w:pPr>
      <w:r w:rsidRPr="001F0F0C">
        <w:rPr>
          <w:rFonts w:ascii="Arial" w:hAnsi="Arial"/>
          <w:b/>
        </w:rPr>
        <w:t xml:space="preserve">1. General. </w:t>
      </w:r>
    </w:p>
    <w:p w14:paraId="523DBA8F" w14:textId="77777777" w:rsidR="00FD3423" w:rsidRPr="001F0F0C" w:rsidRDefault="00FD3423" w:rsidP="005D7482">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9638"/>
      </w:tblGrid>
      <w:tr w:rsidR="00FD3423" w:rsidRPr="001F0F0C" w14:paraId="402186E3" w14:textId="77777777" w:rsidTr="00910418">
        <w:trPr>
          <w:trHeight w:val="721"/>
        </w:trPr>
        <w:tc>
          <w:tcPr>
            <w:tcW w:w="9854" w:type="dxa"/>
            <w:tcBorders>
              <w:top w:val="nil"/>
              <w:left w:val="nil"/>
              <w:bottom w:val="nil"/>
              <w:right w:val="nil"/>
            </w:tcBorders>
          </w:tcPr>
          <w:p w14:paraId="252AE1BC" w14:textId="39EA03E4" w:rsidR="00FD3423" w:rsidRPr="001F0F0C" w:rsidRDefault="00045BE1" w:rsidP="005D7482">
            <w:pPr>
              <w:jc w:val="both"/>
              <w:rPr>
                <w:rFonts w:ascii="Arial" w:hAnsi="Arial" w:cs="Arial"/>
              </w:rPr>
            </w:pPr>
            <w:r w:rsidRPr="001F0F0C">
              <w:rPr>
                <w:rFonts w:ascii="Arial" w:hAnsi="Arial"/>
              </w:rPr>
              <w:t xml:space="preserve">It is required to replace three obsolete cathodic protection stations (CPS) on the Mažeikiai Refinery–Būtingė Terminal main pipeline with modern units equipped with remote monitoring and control. At present, three CPS are remotely monitored and controlled from the Biržai OTS, with data transmitted over the mobile operator network.  Control is performed using a SCADA system supplied by the Belarusian company Belstrojremnaladka. The existing remotely controlled cathodic protection stations are type KZU‑1,2 AM GSM. The GSM modems currently in use are Siemens MC35i. Cathodic protection stations to be replaced are located at these points of main pipeline: </w:t>
            </w:r>
          </w:p>
          <w:p w14:paraId="79229E58" w14:textId="77777777" w:rsidR="0083068F" w:rsidRPr="001F0F0C" w:rsidRDefault="0083068F" w:rsidP="005D7482">
            <w:pPr>
              <w:jc w:val="both"/>
              <w:rPr>
                <w:rFonts w:ascii="Arial" w:hAnsi="Arial" w:cs="Arial"/>
              </w:rPr>
            </w:pPr>
          </w:p>
        </w:tc>
      </w:tr>
      <w:tr w:rsidR="00FD3423" w:rsidRPr="001F0F0C" w14:paraId="3D4C2197" w14:textId="77777777" w:rsidTr="00910418">
        <w:trPr>
          <w:trHeight w:val="80"/>
        </w:trPr>
        <w:tc>
          <w:tcPr>
            <w:tcW w:w="9854" w:type="dxa"/>
            <w:tcBorders>
              <w:top w:val="nil"/>
              <w:left w:val="nil"/>
              <w:bottom w:val="nil"/>
              <w:right w:val="nil"/>
            </w:tcBorders>
          </w:tcPr>
          <w:tbl>
            <w:tblPr>
              <w:tblW w:w="8440" w:type="dxa"/>
              <w:tblInd w:w="525" w:type="dxa"/>
              <w:tblLook w:val="0000" w:firstRow="0" w:lastRow="0" w:firstColumn="0" w:lastColumn="0" w:noHBand="0" w:noVBand="0"/>
            </w:tblPr>
            <w:tblGrid>
              <w:gridCol w:w="3429"/>
              <w:gridCol w:w="1616"/>
              <w:gridCol w:w="1778"/>
              <w:gridCol w:w="1617"/>
            </w:tblGrid>
            <w:tr w:rsidR="0083068F" w:rsidRPr="001F0F0C" w14:paraId="79C7E945" w14:textId="77777777" w:rsidTr="00837CC3">
              <w:trPr>
                <w:trHeight w:val="525"/>
              </w:trPr>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14:paraId="6140821D" w14:textId="77777777" w:rsidR="0083068F" w:rsidRPr="001F0F0C" w:rsidRDefault="006B220F" w:rsidP="00837CC3">
                  <w:pPr>
                    <w:jc w:val="center"/>
                    <w:rPr>
                      <w:rFonts w:ascii="Arial" w:hAnsi="Arial" w:cs="Arial"/>
                      <w:b/>
                      <w:bCs/>
                    </w:rPr>
                  </w:pPr>
                  <w:r w:rsidRPr="001F0F0C">
                    <w:rPr>
                      <w:rFonts w:ascii="Arial" w:hAnsi="Arial"/>
                      <w:b/>
                    </w:rPr>
                    <w:t>Kilometer of pipeline route</w:t>
                  </w:r>
                </w:p>
              </w:tc>
              <w:tc>
                <w:tcPr>
                  <w:tcW w:w="1616" w:type="dxa"/>
                  <w:tcBorders>
                    <w:top w:val="single" w:sz="4" w:space="0" w:color="auto"/>
                    <w:left w:val="nil"/>
                    <w:bottom w:val="single" w:sz="4" w:space="0" w:color="auto"/>
                    <w:right w:val="single" w:sz="4" w:space="0" w:color="auto"/>
                  </w:tcBorders>
                  <w:shd w:val="clear" w:color="auto" w:fill="auto"/>
                  <w:vAlign w:val="center"/>
                </w:tcPr>
                <w:p w14:paraId="02CC6F9A" w14:textId="77777777" w:rsidR="0083068F" w:rsidRPr="001F0F0C" w:rsidRDefault="0083068F" w:rsidP="00837CC3">
                  <w:pPr>
                    <w:jc w:val="center"/>
                    <w:rPr>
                      <w:rFonts w:ascii="Arial" w:hAnsi="Arial" w:cs="Arial"/>
                      <w:b/>
                      <w:bCs/>
                    </w:rPr>
                  </w:pPr>
                  <w:r w:rsidRPr="001F0F0C">
                    <w:rPr>
                      <w:rFonts w:ascii="Arial" w:hAnsi="Arial"/>
                      <w:b/>
                    </w:rPr>
                    <w:t>CPS type</w:t>
                  </w:r>
                </w:p>
              </w:tc>
              <w:tc>
                <w:tcPr>
                  <w:tcW w:w="1778" w:type="dxa"/>
                  <w:tcBorders>
                    <w:top w:val="single" w:sz="4" w:space="0" w:color="auto"/>
                    <w:left w:val="nil"/>
                    <w:bottom w:val="single" w:sz="4" w:space="0" w:color="auto"/>
                    <w:right w:val="single" w:sz="4" w:space="0" w:color="auto"/>
                  </w:tcBorders>
                  <w:shd w:val="clear" w:color="auto" w:fill="auto"/>
                  <w:vAlign w:val="center"/>
                </w:tcPr>
                <w:p w14:paraId="77E20AFC" w14:textId="77777777" w:rsidR="0083068F" w:rsidRPr="001F0F0C" w:rsidRDefault="0083068F" w:rsidP="00837CC3">
                  <w:pPr>
                    <w:jc w:val="center"/>
                    <w:rPr>
                      <w:rFonts w:ascii="Arial" w:hAnsi="Arial" w:cs="Arial"/>
                      <w:b/>
                      <w:bCs/>
                    </w:rPr>
                  </w:pPr>
                  <w:r w:rsidRPr="001F0F0C">
                    <w:rPr>
                      <w:rFonts w:ascii="Arial" w:hAnsi="Arial"/>
                      <w:b/>
                    </w:rPr>
                    <w:t>Capacity, kW</w:t>
                  </w:r>
                </w:p>
              </w:tc>
              <w:tc>
                <w:tcPr>
                  <w:tcW w:w="1617" w:type="dxa"/>
                  <w:tcBorders>
                    <w:top w:val="single" w:sz="4" w:space="0" w:color="auto"/>
                    <w:left w:val="nil"/>
                    <w:bottom w:val="single" w:sz="4" w:space="0" w:color="auto"/>
                    <w:right w:val="single" w:sz="4" w:space="0" w:color="auto"/>
                  </w:tcBorders>
                  <w:shd w:val="clear" w:color="auto" w:fill="auto"/>
                  <w:vAlign w:val="center"/>
                </w:tcPr>
                <w:p w14:paraId="35CC4D8D" w14:textId="77777777" w:rsidR="0083068F" w:rsidRPr="001F0F0C" w:rsidRDefault="0083068F" w:rsidP="00837CC3">
                  <w:pPr>
                    <w:jc w:val="center"/>
                    <w:rPr>
                      <w:rFonts w:ascii="Arial" w:hAnsi="Arial" w:cs="Arial"/>
                      <w:b/>
                      <w:bCs/>
                    </w:rPr>
                  </w:pPr>
                  <w:r w:rsidRPr="001F0F0C">
                    <w:rPr>
                      <w:rFonts w:ascii="Arial" w:hAnsi="Arial"/>
                      <w:b/>
                    </w:rPr>
                    <w:t>Put into service</w:t>
                  </w:r>
                </w:p>
              </w:tc>
            </w:tr>
            <w:tr w:rsidR="0083068F" w:rsidRPr="001F0F0C" w14:paraId="32AD6583" w14:textId="77777777" w:rsidTr="00837CC3">
              <w:trPr>
                <w:trHeight w:val="330"/>
              </w:trPr>
              <w:tc>
                <w:tcPr>
                  <w:tcW w:w="3429" w:type="dxa"/>
                  <w:tcBorders>
                    <w:top w:val="nil"/>
                    <w:left w:val="single" w:sz="4" w:space="0" w:color="auto"/>
                    <w:bottom w:val="single" w:sz="4" w:space="0" w:color="auto"/>
                    <w:right w:val="single" w:sz="4" w:space="0" w:color="auto"/>
                  </w:tcBorders>
                  <w:shd w:val="clear" w:color="auto" w:fill="auto"/>
                </w:tcPr>
                <w:p w14:paraId="054CEE1C" w14:textId="4C765579" w:rsidR="0083068F" w:rsidRPr="001F0F0C" w:rsidRDefault="00866559" w:rsidP="00837CC3">
                  <w:pPr>
                    <w:rPr>
                      <w:rFonts w:ascii="Arial" w:hAnsi="Arial" w:cs="Arial"/>
                    </w:rPr>
                  </w:pPr>
                  <w:r w:rsidRPr="001F0F0C">
                    <w:rPr>
                      <w:rFonts w:ascii="Arial" w:hAnsi="Arial"/>
                    </w:rPr>
                    <w:t xml:space="preserve">24th km, Mažeikiai District, Židikai. </w:t>
                  </w:r>
                </w:p>
              </w:tc>
              <w:tc>
                <w:tcPr>
                  <w:tcW w:w="1616" w:type="dxa"/>
                  <w:tcBorders>
                    <w:top w:val="nil"/>
                    <w:left w:val="nil"/>
                    <w:bottom w:val="single" w:sz="4" w:space="0" w:color="auto"/>
                    <w:right w:val="single" w:sz="4" w:space="0" w:color="auto"/>
                  </w:tcBorders>
                  <w:shd w:val="clear" w:color="auto" w:fill="auto"/>
                </w:tcPr>
                <w:p w14:paraId="73576D54" w14:textId="298B105C" w:rsidR="0083068F" w:rsidRPr="001F0F0C" w:rsidRDefault="00866559" w:rsidP="00837CC3">
                  <w:pPr>
                    <w:rPr>
                      <w:rFonts w:ascii="Arial" w:hAnsi="Arial" w:cs="Arial"/>
                    </w:rPr>
                  </w:pPr>
                  <w:r w:rsidRPr="001F0F0C">
                    <w:rPr>
                      <w:rFonts w:ascii="Arial" w:hAnsi="Arial"/>
                    </w:rPr>
                    <w:t>KZU-1,2 AM GSM</w:t>
                  </w:r>
                </w:p>
              </w:tc>
              <w:tc>
                <w:tcPr>
                  <w:tcW w:w="1778" w:type="dxa"/>
                  <w:tcBorders>
                    <w:top w:val="nil"/>
                    <w:left w:val="nil"/>
                    <w:bottom w:val="single" w:sz="4" w:space="0" w:color="auto"/>
                    <w:right w:val="single" w:sz="4" w:space="0" w:color="auto"/>
                  </w:tcBorders>
                  <w:shd w:val="clear" w:color="auto" w:fill="auto"/>
                </w:tcPr>
                <w:p w14:paraId="7C0A2274" w14:textId="77777777" w:rsidR="0083068F" w:rsidRPr="001F0F0C" w:rsidRDefault="00D317E5" w:rsidP="00837CC3">
                  <w:pPr>
                    <w:jc w:val="right"/>
                    <w:rPr>
                      <w:rFonts w:ascii="Arial" w:hAnsi="Arial" w:cs="Arial"/>
                    </w:rPr>
                  </w:pPr>
                  <w:r w:rsidRPr="001F0F0C">
                    <w:rPr>
                      <w:rFonts w:ascii="Arial" w:hAnsi="Arial"/>
                    </w:rPr>
                    <w:t>1,2</w:t>
                  </w:r>
                </w:p>
              </w:tc>
              <w:tc>
                <w:tcPr>
                  <w:tcW w:w="1617" w:type="dxa"/>
                  <w:tcBorders>
                    <w:top w:val="nil"/>
                    <w:left w:val="nil"/>
                    <w:bottom w:val="single" w:sz="4" w:space="0" w:color="auto"/>
                    <w:right w:val="single" w:sz="4" w:space="0" w:color="auto"/>
                  </w:tcBorders>
                  <w:shd w:val="clear" w:color="auto" w:fill="auto"/>
                </w:tcPr>
                <w:p w14:paraId="2BD8AE8F" w14:textId="0397FB77" w:rsidR="0083068F" w:rsidRPr="001F0F0C" w:rsidRDefault="00866559" w:rsidP="00866559">
                  <w:pPr>
                    <w:jc w:val="center"/>
                    <w:rPr>
                      <w:rFonts w:ascii="Arial" w:hAnsi="Arial" w:cs="Arial"/>
                    </w:rPr>
                  </w:pPr>
                  <w:r w:rsidRPr="001F0F0C">
                    <w:rPr>
                      <w:rFonts w:ascii="Arial" w:hAnsi="Arial"/>
                    </w:rPr>
                    <w:t>2004</w:t>
                  </w:r>
                </w:p>
              </w:tc>
            </w:tr>
            <w:tr w:rsidR="0083068F" w:rsidRPr="001F0F0C" w14:paraId="58391353" w14:textId="77777777" w:rsidTr="00837CC3">
              <w:trPr>
                <w:trHeight w:val="315"/>
              </w:trPr>
              <w:tc>
                <w:tcPr>
                  <w:tcW w:w="3429" w:type="dxa"/>
                  <w:tcBorders>
                    <w:top w:val="nil"/>
                    <w:left w:val="single" w:sz="4" w:space="0" w:color="auto"/>
                    <w:bottom w:val="single" w:sz="4" w:space="0" w:color="auto"/>
                    <w:right w:val="single" w:sz="4" w:space="0" w:color="auto"/>
                  </w:tcBorders>
                  <w:shd w:val="clear" w:color="auto" w:fill="auto"/>
                </w:tcPr>
                <w:p w14:paraId="411C29F5" w14:textId="4CA50611" w:rsidR="0083068F" w:rsidRPr="001F0F0C" w:rsidRDefault="00866559" w:rsidP="00837CC3">
                  <w:pPr>
                    <w:rPr>
                      <w:rFonts w:ascii="Arial" w:hAnsi="Arial" w:cs="Arial"/>
                    </w:rPr>
                  </w:pPr>
                  <w:r w:rsidRPr="001F0F0C">
                    <w:rPr>
                      <w:rFonts w:ascii="Arial" w:hAnsi="Arial"/>
                    </w:rPr>
                    <w:t>54h km Skuodas District, Narvydžiai.</w:t>
                  </w:r>
                </w:p>
              </w:tc>
              <w:tc>
                <w:tcPr>
                  <w:tcW w:w="1616" w:type="dxa"/>
                  <w:tcBorders>
                    <w:top w:val="nil"/>
                    <w:left w:val="nil"/>
                    <w:bottom w:val="single" w:sz="4" w:space="0" w:color="auto"/>
                    <w:right w:val="single" w:sz="4" w:space="0" w:color="auto"/>
                  </w:tcBorders>
                  <w:shd w:val="clear" w:color="auto" w:fill="auto"/>
                </w:tcPr>
                <w:p w14:paraId="70826DE6" w14:textId="0050E0D1" w:rsidR="0083068F" w:rsidRPr="001F0F0C" w:rsidRDefault="00866559" w:rsidP="00837CC3">
                  <w:pPr>
                    <w:rPr>
                      <w:rFonts w:ascii="Arial" w:hAnsi="Arial" w:cs="Arial"/>
                    </w:rPr>
                  </w:pPr>
                  <w:r w:rsidRPr="001F0F0C">
                    <w:rPr>
                      <w:rFonts w:ascii="Arial" w:hAnsi="Arial"/>
                    </w:rPr>
                    <w:t>KZU-1,2 AM GSM</w:t>
                  </w:r>
                </w:p>
              </w:tc>
              <w:tc>
                <w:tcPr>
                  <w:tcW w:w="1778" w:type="dxa"/>
                  <w:tcBorders>
                    <w:top w:val="nil"/>
                    <w:left w:val="nil"/>
                    <w:bottom w:val="single" w:sz="4" w:space="0" w:color="auto"/>
                    <w:right w:val="single" w:sz="4" w:space="0" w:color="auto"/>
                  </w:tcBorders>
                  <w:shd w:val="clear" w:color="auto" w:fill="auto"/>
                </w:tcPr>
                <w:p w14:paraId="56BEFED9" w14:textId="77777777" w:rsidR="0083068F" w:rsidRPr="001F0F0C" w:rsidRDefault="00D317E5" w:rsidP="00837CC3">
                  <w:pPr>
                    <w:jc w:val="right"/>
                    <w:rPr>
                      <w:rFonts w:ascii="Arial" w:hAnsi="Arial" w:cs="Arial"/>
                    </w:rPr>
                  </w:pPr>
                  <w:r w:rsidRPr="001F0F0C">
                    <w:rPr>
                      <w:rFonts w:ascii="Arial" w:hAnsi="Arial"/>
                    </w:rPr>
                    <w:t>1,2</w:t>
                  </w:r>
                </w:p>
              </w:tc>
              <w:tc>
                <w:tcPr>
                  <w:tcW w:w="1617" w:type="dxa"/>
                  <w:tcBorders>
                    <w:top w:val="nil"/>
                    <w:left w:val="nil"/>
                    <w:bottom w:val="single" w:sz="4" w:space="0" w:color="auto"/>
                    <w:right w:val="single" w:sz="4" w:space="0" w:color="auto"/>
                  </w:tcBorders>
                  <w:shd w:val="clear" w:color="auto" w:fill="auto"/>
                </w:tcPr>
                <w:p w14:paraId="7843B30E" w14:textId="5ADD837C" w:rsidR="0083068F" w:rsidRPr="001F0F0C" w:rsidRDefault="00866559" w:rsidP="00866559">
                  <w:pPr>
                    <w:jc w:val="center"/>
                    <w:rPr>
                      <w:rFonts w:ascii="Arial" w:hAnsi="Arial" w:cs="Arial"/>
                    </w:rPr>
                  </w:pPr>
                  <w:r w:rsidRPr="001F0F0C">
                    <w:rPr>
                      <w:rFonts w:ascii="Arial" w:hAnsi="Arial"/>
                    </w:rPr>
                    <w:t>2004</w:t>
                  </w:r>
                </w:p>
              </w:tc>
            </w:tr>
            <w:tr w:rsidR="0083068F" w:rsidRPr="001F0F0C" w14:paraId="5A67A96F" w14:textId="77777777" w:rsidTr="00837CC3">
              <w:trPr>
                <w:trHeight w:val="330"/>
              </w:trPr>
              <w:tc>
                <w:tcPr>
                  <w:tcW w:w="3429" w:type="dxa"/>
                  <w:tcBorders>
                    <w:top w:val="nil"/>
                    <w:left w:val="single" w:sz="4" w:space="0" w:color="auto"/>
                    <w:bottom w:val="single" w:sz="4" w:space="0" w:color="auto"/>
                    <w:right w:val="single" w:sz="4" w:space="0" w:color="auto"/>
                  </w:tcBorders>
                  <w:shd w:val="clear" w:color="auto" w:fill="auto"/>
                </w:tcPr>
                <w:p w14:paraId="20A73F15" w14:textId="33B7DD40" w:rsidR="0083068F" w:rsidRPr="001F0F0C" w:rsidRDefault="00525DB6" w:rsidP="00837CC3">
                  <w:pPr>
                    <w:rPr>
                      <w:rFonts w:ascii="Arial" w:hAnsi="Arial" w:cs="Arial"/>
                    </w:rPr>
                  </w:pPr>
                  <w:r w:rsidRPr="001F0F0C">
                    <w:rPr>
                      <w:rFonts w:ascii="Arial" w:hAnsi="Arial"/>
                    </w:rPr>
                    <w:t>84th km Kretinga District, Benaičiai.</w:t>
                  </w:r>
                </w:p>
              </w:tc>
              <w:tc>
                <w:tcPr>
                  <w:tcW w:w="1616" w:type="dxa"/>
                  <w:tcBorders>
                    <w:top w:val="nil"/>
                    <w:left w:val="nil"/>
                    <w:bottom w:val="single" w:sz="4" w:space="0" w:color="auto"/>
                    <w:right w:val="single" w:sz="4" w:space="0" w:color="auto"/>
                  </w:tcBorders>
                  <w:shd w:val="clear" w:color="auto" w:fill="auto"/>
                </w:tcPr>
                <w:p w14:paraId="4B2BB9A2" w14:textId="0751453E" w:rsidR="0083068F" w:rsidRPr="001F0F0C" w:rsidRDefault="00525DB6" w:rsidP="00837CC3">
                  <w:pPr>
                    <w:rPr>
                      <w:rFonts w:ascii="Arial" w:hAnsi="Arial" w:cs="Arial"/>
                    </w:rPr>
                  </w:pPr>
                  <w:r w:rsidRPr="001F0F0C">
                    <w:rPr>
                      <w:rFonts w:ascii="Arial" w:hAnsi="Arial"/>
                    </w:rPr>
                    <w:t>KZU-1,2 AM GSM</w:t>
                  </w:r>
                </w:p>
              </w:tc>
              <w:tc>
                <w:tcPr>
                  <w:tcW w:w="1778" w:type="dxa"/>
                  <w:tcBorders>
                    <w:top w:val="nil"/>
                    <w:left w:val="nil"/>
                    <w:bottom w:val="single" w:sz="4" w:space="0" w:color="auto"/>
                    <w:right w:val="single" w:sz="4" w:space="0" w:color="auto"/>
                  </w:tcBorders>
                  <w:shd w:val="clear" w:color="auto" w:fill="auto"/>
                </w:tcPr>
                <w:p w14:paraId="677D4DBF" w14:textId="77777777" w:rsidR="0083068F" w:rsidRPr="001F0F0C" w:rsidRDefault="00D317E5" w:rsidP="00837CC3">
                  <w:pPr>
                    <w:jc w:val="right"/>
                    <w:rPr>
                      <w:rFonts w:ascii="Arial" w:hAnsi="Arial" w:cs="Arial"/>
                    </w:rPr>
                  </w:pPr>
                  <w:r w:rsidRPr="001F0F0C">
                    <w:rPr>
                      <w:rFonts w:ascii="Arial" w:hAnsi="Arial"/>
                    </w:rPr>
                    <w:t>1,2</w:t>
                  </w:r>
                </w:p>
              </w:tc>
              <w:tc>
                <w:tcPr>
                  <w:tcW w:w="1617" w:type="dxa"/>
                  <w:tcBorders>
                    <w:top w:val="nil"/>
                    <w:left w:val="nil"/>
                    <w:bottom w:val="single" w:sz="4" w:space="0" w:color="auto"/>
                    <w:right w:val="single" w:sz="4" w:space="0" w:color="auto"/>
                  </w:tcBorders>
                  <w:shd w:val="clear" w:color="auto" w:fill="auto"/>
                </w:tcPr>
                <w:p w14:paraId="4D1C86AE" w14:textId="717E9813" w:rsidR="0083068F" w:rsidRPr="001F0F0C" w:rsidRDefault="00525DB6" w:rsidP="00525DB6">
                  <w:pPr>
                    <w:jc w:val="center"/>
                    <w:rPr>
                      <w:rFonts w:ascii="Arial" w:hAnsi="Arial" w:cs="Arial"/>
                    </w:rPr>
                  </w:pPr>
                  <w:r w:rsidRPr="001F0F0C">
                    <w:rPr>
                      <w:rFonts w:ascii="Arial" w:hAnsi="Arial"/>
                    </w:rPr>
                    <w:t>2004</w:t>
                  </w:r>
                </w:p>
              </w:tc>
            </w:tr>
          </w:tbl>
          <w:p w14:paraId="1DF0E349" w14:textId="77777777" w:rsidR="00FD3423" w:rsidRPr="001F0F0C" w:rsidRDefault="00FD3423" w:rsidP="00FD3423">
            <w:pPr>
              <w:jc w:val="both"/>
              <w:rPr>
                <w:rFonts w:ascii="Arial" w:hAnsi="Arial" w:cs="Arial"/>
                <w:color w:val="808080" w:themeColor="background1" w:themeShade="80"/>
              </w:rPr>
            </w:pPr>
          </w:p>
        </w:tc>
      </w:tr>
    </w:tbl>
    <w:p w14:paraId="2CB16EEE" w14:textId="77777777" w:rsidR="005D7482" w:rsidRPr="001F0F0C" w:rsidRDefault="005D7482" w:rsidP="005D7482">
      <w:pPr>
        <w:spacing w:after="0" w:line="240" w:lineRule="auto"/>
        <w:jc w:val="both"/>
        <w:rPr>
          <w:rFonts w:ascii="Arial" w:hAnsi="Arial" w:cs="Arial"/>
        </w:rPr>
      </w:pPr>
    </w:p>
    <w:p w14:paraId="54298C6C" w14:textId="75E34708" w:rsidR="00FD3423" w:rsidRPr="001F0F0C" w:rsidRDefault="005D7482" w:rsidP="005D7482">
      <w:pPr>
        <w:spacing w:after="0" w:line="240" w:lineRule="auto"/>
        <w:jc w:val="both"/>
        <w:rPr>
          <w:rFonts w:ascii="Arial" w:hAnsi="Arial" w:cs="Arial"/>
          <w:b/>
        </w:rPr>
      </w:pPr>
      <w:r w:rsidRPr="001F0F0C">
        <w:rPr>
          <w:rFonts w:ascii="Arial" w:hAnsi="Arial"/>
          <w:b/>
        </w:rPr>
        <w:t>2. Attachments.</w:t>
      </w:r>
    </w:p>
    <w:tbl>
      <w:tblPr>
        <w:tblStyle w:val="TableGrid"/>
        <w:tblW w:w="0" w:type="auto"/>
        <w:tblLook w:val="04A0" w:firstRow="1" w:lastRow="0" w:firstColumn="1" w:lastColumn="0" w:noHBand="0" w:noVBand="1"/>
      </w:tblPr>
      <w:tblGrid>
        <w:gridCol w:w="9638"/>
      </w:tblGrid>
      <w:tr w:rsidR="00FD3423" w:rsidRPr="001F0F0C" w14:paraId="7C1D36D8" w14:textId="77777777" w:rsidTr="00FD3423">
        <w:tc>
          <w:tcPr>
            <w:tcW w:w="9854" w:type="dxa"/>
            <w:tcBorders>
              <w:top w:val="nil"/>
              <w:left w:val="nil"/>
              <w:bottom w:val="nil"/>
              <w:right w:val="nil"/>
            </w:tcBorders>
          </w:tcPr>
          <w:p w14:paraId="58FCFA5A" w14:textId="77777777" w:rsidR="00FD3423" w:rsidRPr="001F0F0C" w:rsidRDefault="00FD3423" w:rsidP="00410997">
            <w:pPr>
              <w:jc w:val="both"/>
              <w:rPr>
                <w:rFonts w:ascii="Arial" w:hAnsi="Arial" w:cs="Arial"/>
                <w:color w:val="808080" w:themeColor="background1" w:themeShade="80"/>
              </w:rPr>
            </w:pPr>
          </w:p>
        </w:tc>
      </w:tr>
      <w:tr w:rsidR="00FD3423" w:rsidRPr="001F0F0C" w14:paraId="0BD55EA3" w14:textId="77777777" w:rsidTr="00FD3423">
        <w:tc>
          <w:tcPr>
            <w:tcW w:w="9854" w:type="dxa"/>
            <w:tcBorders>
              <w:top w:val="nil"/>
              <w:left w:val="nil"/>
              <w:bottom w:val="nil"/>
              <w:right w:val="nil"/>
            </w:tcBorders>
          </w:tcPr>
          <w:p w14:paraId="3D589EEA" w14:textId="15D05F43" w:rsidR="00FD3423" w:rsidRPr="001F0F0C" w:rsidRDefault="00C6293A" w:rsidP="009F1801">
            <w:pPr>
              <w:pStyle w:val="ListParagraph"/>
              <w:numPr>
                <w:ilvl w:val="1"/>
                <w:numId w:val="3"/>
              </w:numPr>
              <w:ind w:left="709" w:hanging="283"/>
              <w:jc w:val="both"/>
              <w:rPr>
                <w:rFonts w:ascii="Arial" w:hAnsi="Arial" w:cs="Arial"/>
              </w:rPr>
            </w:pPr>
            <w:r w:rsidRPr="001F0F0C">
              <w:rPr>
                <w:rFonts w:ascii="Arial" w:hAnsi="Arial"/>
              </w:rPr>
              <w:t>None.</w:t>
            </w:r>
            <w:r w:rsidR="00FD3423" w:rsidRPr="001F0F0C">
              <w:rPr>
                <w:rFonts w:ascii="Arial" w:hAnsi="Arial"/>
              </w:rPr>
              <w:t xml:space="preserve">                                                          </w:t>
            </w:r>
          </w:p>
        </w:tc>
      </w:tr>
    </w:tbl>
    <w:p w14:paraId="139C4EB6" w14:textId="77777777" w:rsidR="005D7482" w:rsidRPr="001F0F0C" w:rsidRDefault="005D7482" w:rsidP="005D7482">
      <w:pPr>
        <w:spacing w:after="0" w:line="240" w:lineRule="auto"/>
        <w:jc w:val="both"/>
        <w:rPr>
          <w:rFonts w:ascii="Arial" w:hAnsi="Arial" w:cs="Arial"/>
        </w:rPr>
      </w:pPr>
    </w:p>
    <w:p w14:paraId="6E845822" w14:textId="77777777" w:rsidR="005D7482" w:rsidRPr="001F0F0C" w:rsidRDefault="005D7482" w:rsidP="005D7482">
      <w:pPr>
        <w:spacing w:after="0" w:line="240" w:lineRule="auto"/>
        <w:jc w:val="both"/>
        <w:rPr>
          <w:rFonts w:ascii="Arial" w:hAnsi="Arial" w:cs="Arial"/>
          <w:b/>
        </w:rPr>
      </w:pPr>
      <w:r w:rsidRPr="001F0F0C">
        <w:rPr>
          <w:rFonts w:ascii="Arial" w:hAnsi="Arial"/>
          <w:b/>
        </w:rPr>
        <w:t>3. Description and specifics of work.</w:t>
      </w:r>
    </w:p>
    <w:p w14:paraId="6635FD25" w14:textId="77777777" w:rsidR="005D7482" w:rsidRPr="001F0F0C" w:rsidRDefault="005D7482" w:rsidP="005D7482">
      <w:pPr>
        <w:spacing w:after="0" w:line="240" w:lineRule="auto"/>
        <w:jc w:val="both"/>
        <w:rPr>
          <w:rFonts w:ascii="Arial" w:hAnsi="Arial" w:cs="Arial"/>
          <w:b/>
        </w:rPr>
      </w:pPr>
      <w:r w:rsidRPr="001F0F0C">
        <w:rPr>
          <w:rFonts w:ascii="Arial" w:hAnsi="Arial"/>
          <w:b/>
        </w:rPr>
        <w:t>3.1. General requirements.</w:t>
      </w:r>
    </w:p>
    <w:p w14:paraId="403D6AC1" w14:textId="77777777" w:rsidR="00FD3423" w:rsidRPr="001F0F0C" w:rsidRDefault="00FD3423" w:rsidP="005D7482">
      <w:pPr>
        <w:spacing w:after="0" w:line="240" w:lineRule="auto"/>
        <w:jc w:val="both"/>
        <w:rPr>
          <w:rFonts w:ascii="Arial" w:hAnsi="Arial" w:cs="Arial"/>
          <w:i/>
          <w:color w:val="808080" w:themeColor="background1" w:themeShade="80"/>
        </w:rPr>
      </w:pPr>
    </w:p>
    <w:tbl>
      <w:tblPr>
        <w:tblStyle w:val="TableGrid"/>
        <w:tblW w:w="9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4"/>
      </w:tblGrid>
      <w:tr w:rsidR="00FD3423" w:rsidRPr="001F0F0C" w14:paraId="4727100F" w14:textId="77777777" w:rsidTr="00E60D73">
        <w:trPr>
          <w:trHeight w:val="2708"/>
        </w:trPr>
        <w:tc>
          <w:tcPr>
            <w:tcW w:w="9944" w:type="dxa"/>
          </w:tcPr>
          <w:p w14:paraId="0F3540B0" w14:textId="5A60933B" w:rsidR="00557844" w:rsidRPr="001F0F0C" w:rsidRDefault="00EF1217" w:rsidP="009F1801">
            <w:pPr>
              <w:jc w:val="both"/>
              <w:rPr>
                <w:rFonts w:ascii="Arial" w:hAnsi="Arial" w:cs="Arial"/>
              </w:rPr>
            </w:pPr>
            <w:r w:rsidRPr="001F0F0C">
              <w:rPr>
                <w:rFonts w:ascii="Arial" w:hAnsi="Arial"/>
              </w:rPr>
              <w:t>The replacement of the CPS shall be completed no later than 31 October 2026. The new CPS shall meet or exceed the technical specifications of the existing KZU‑1,2 AM GSM units. Each station shall provide both manual and remote control (adjustment) of output current, output voltage and protection potential. For remote measurement of protection potential, each station shall be equipped with copper‑sulfate reference electrodes with a service life of at least 15 years.  Metering cables shall be copper, double‑insulated, underground‑rated, with a cross‑section of ≥ 6 mm². Where required, cathode and anode cables (copper, double‑insulated, underground‑rated, with a cross‑section of ≥ 25 mm²) and power cables shall be replaced. New cathodic protection stations shall be mounted on suitable supports.</w:t>
            </w:r>
          </w:p>
          <w:p w14:paraId="08FF59DC" w14:textId="77777777" w:rsidR="00FD3423" w:rsidRPr="001F0F0C" w:rsidRDefault="00FD3423" w:rsidP="009F1801">
            <w:pPr>
              <w:jc w:val="both"/>
              <w:rPr>
                <w:rFonts w:ascii="Arial" w:hAnsi="Arial" w:cs="Arial"/>
              </w:rPr>
            </w:pPr>
            <w:r w:rsidRPr="001F0F0C">
              <w:rPr>
                <w:rFonts w:ascii="Arial" w:hAnsi="Arial"/>
              </w:rPr>
              <w:t xml:space="preserve">                                                                </w:t>
            </w:r>
          </w:p>
        </w:tc>
      </w:tr>
    </w:tbl>
    <w:p w14:paraId="409FDFB3" w14:textId="77777777" w:rsidR="00BD4CDB" w:rsidRPr="001F0F0C" w:rsidRDefault="00BD4CDB" w:rsidP="005D7482">
      <w:pPr>
        <w:spacing w:after="0" w:line="240" w:lineRule="auto"/>
        <w:jc w:val="both"/>
        <w:rPr>
          <w:rFonts w:ascii="Arial" w:hAnsi="Arial" w:cs="Arial"/>
          <w:b/>
        </w:rPr>
      </w:pPr>
      <w:r w:rsidRPr="001F0F0C">
        <w:rPr>
          <w:rFonts w:ascii="Arial" w:hAnsi="Arial"/>
          <w:b/>
        </w:rPr>
        <w:t>3.2. Work description.</w:t>
      </w:r>
    </w:p>
    <w:tbl>
      <w:tblPr>
        <w:tblStyle w:val="TableGrid"/>
        <w:tblW w:w="0" w:type="auto"/>
        <w:tblLook w:val="04A0" w:firstRow="1" w:lastRow="0" w:firstColumn="1" w:lastColumn="0" w:noHBand="0" w:noVBand="1"/>
      </w:tblPr>
      <w:tblGrid>
        <w:gridCol w:w="9638"/>
      </w:tblGrid>
      <w:tr w:rsidR="00FD3423" w:rsidRPr="001F0F0C" w14:paraId="7F9F67F8" w14:textId="77777777" w:rsidTr="00F31817">
        <w:tc>
          <w:tcPr>
            <w:tcW w:w="9854" w:type="dxa"/>
            <w:tcBorders>
              <w:top w:val="nil"/>
              <w:left w:val="nil"/>
              <w:bottom w:val="nil"/>
              <w:right w:val="nil"/>
            </w:tcBorders>
          </w:tcPr>
          <w:p w14:paraId="50559E1C" w14:textId="77777777" w:rsidR="00FD3423" w:rsidRPr="001F0F0C" w:rsidRDefault="00FD3423">
            <w:pPr>
              <w:jc w:val="both"/>
              <w:rPr>
                <w:rFonts w:ascii="Arial" w:hAnsi="Arial" w:cs="Arial"/>
                <w:i/>
                <w:color w:val="808080" w:themeColor="background1" w:themeShade="80"/>
              </w:rPr>
            </w:pPr>
          </w:p>
        </w:tc>
      </w:tr>
      <w:tr w:rsidR="00F31817" w:rsidRPr="001F0F0C" w14:paraId="7735B051" w14:textId="77777777" w:rsidTr="00F31817">
        <w:tc>
          <w:tcPr>
            <w:tcW w:w="9854" w:type="dxa"/>
            <w:tcBorders>
              <w:top w:val="nil"/>
              <w:left w:val="nil"/>
              <w:bottom w:val="nil"/>
              <w:right w:val="nil"/>
            </w:tcBorders>
          </w:tcPr>
          <w:p w14:paraId="21648018" w14:textId="4ECFDDA8" w:rsidR="00E60D73" w:rsidRPr="001F0F0C" w:rsidRDefault="00E60D73" w:rsidP="00BE5DEB">
            <w:pPr>
              <w:pStyle w:val="ListParagraph"/>
              <w:numPr>
                <w:ilvl w:val="2"/>
                <w:numId w:val="2"/>
              </w:numPr>
              <w:ind w:left="709" w:hanging="349"/>
              <w:jc w:val="both"/>
              <w:rPr>
                <w:rFonts w:ascii="Arial" w:hAnsi="Arial" w:cs="Arial"/>
              </w:rPr>
            </w:pPr>
            <w:r w:rsidRPr="001F0F0C">
              <w:rPr>
                <w:rFonts w:ascii="Arial" w:hAnsi="Arial"/>
              </w:rPr>
              <w:t>Prepare a detailed design for the replacement of the CPS on the main pipeline. The detailed design shall be completed no later than 1 May 2026.</w:t>
            </w:r>
          </w:p>
          <w:p w14:paraId="2792DAE2" w14:textId="77777777" w:rsidR="00E60D73" w:rsidRPr="001F0F0C" w:rsidRDefault="00C37E27" w:rsidP="00BE5DEB">
            <w:pPr>
              <w:pStyle w:val="ListParagraph"/>
              <w:numPr>
                <w:ilvl w:val="2"/>
                <w:numId w:val="2"/>
              </w:numPr>
              <w:ind w:left="709" w:hanging="349"/>
              <w:jc w:val="both"/>
              <w:rPr>
                <w:rFonts w:ascii="Arial" w:hAnsi="Arial" w:cs="Arial"/>
              </w:rPr>
            </w:pPr>
            <w:r w:rsidRPr="001F0F0C">
              <w:rPr>
                <w:rFonts w:ascii="Arial" w:hAnsi="Arial"/>
              </w:rPr>
              <w:t>Based on the number of CPS to be replaced, calculate and specify all labor and material costs.</w:t>
            </w:r>
          </w:p>
          <w:p w14:paraId="47E3D27D" w14:textId="77777777" w:rsidR="00E60D73" w:rsidRPr="001F0F0C" w:rsidRDefault="00C365F7" w:rsidP="00BE5DEB">
            <w:pPr>
              <w:pStyle w:val="ListParagraph"/>
              <w:numPr>
                <w:ilvl w:val="2"/>
                <w:numId w:val="2"/>
              </w:numPr>
              <w:ind w:left="709" w:hanging="349"/>
              <w:jc w:val="both"/>
              <w:rPr>
                <w:rFonts w:ascii="Arial" w:hAnsi="Arial" w:cs="Arial"/>
              </w:rPr>
            </w:pPr>
            <w:r w:rsidRPr="001F0F0C">
              <w:rPr>
                <w:rFonts w:ascii="Arial" w:hAnsi="Arial"/>
              </w:rPr>
              <w:t xml:space="preserve">Coordinate the design with the Owner and with the owners of the respective land plots. </w:t>
            </w:r>
          </w:p>
          <w:p w14:paraId="0A0EDCB5" w14:textId="77777777" w:rsidR="00F31817" w:rsidRPr="001F0F0C" w:rsidRDefault="00C365F7" w:rsidP="00BE5DEB">
            <w:pPr>
              <w:pStyle w:val="ListParagraph"/>
              <w:numPr>
                <w:ilvl w:val="2"/>
                <w:numId w:val="2"/>
              </w:numPr>
              <w:ind w:left="709" w:hanging="349"/>
              <w:jc w:val="both"/>
              <w:rPr>
                <w:rFonts w:ascii="Arial" w:hAnsi="Arial" w:cs="Arial"/>
              </w:rPr>
            </w:pPr>
            <w:r w:rsidRPr="001F0F0C">
              <w:rPr>
                <w:rFonts w:ascii="Arial" w:hAnsi="Arial"/>
              </w:rPr>
              <w:t xml:space="preserve">Obtain all permits required for the execution of the works.                                                                 </w:t>
            </w:r>
          </w:p>
        </w:tc>
      </w:tr>
    </w:tbl>
    <w:p w14:paraId="61BA05D7" w14:textId="77777777" w:rsidR="00BD4CDB" w:rsidRPr="001F0F0C" w:rsidRDefault="00BD4CDB" w:rsidP="00BD4CDB">
      <w:pPr>
        <w:spacing w:after="0" w:line="240" w:lineRule="auto"/>
        <w:jc w:val="both"/>
        <w:rPr>
          <w:rFonts w:ascii="Arial" w:hAnsi="Arial" w:cs="Arial"/>
          <w:i/>
          <w:color w:val="808080" w:themeColor="background1" w:themeShade="80"/>
        </w:rPr>
      </w:pPr>
    </w:p>
    <w:p w14:paraId="387EF108" w14:textId="77777777" w:rsidR="007510A9" w:rsidRPr="001F0F0C" w:rsidRDefault="007510A9" w:rsidP="00BD4CDB">
      <w:pPr>
        <w:spacing w:after="0" w:line="240" w:lineRule="auto"/>
        <w:jc w:val="both"/>
        <w:rPr>
          <w:rFonts w:ascii="Arial" w:hAnsi="Arial" w:cs="Arial"/>
          <w:b/>
        </w:rPr>
      </w:pPr>
      <w:r w:rsidRPr="001F0F0C">
        <w:rPr>
          <w:rFonts w:ascii="Arial" w:hAnsi="Arial"/>
          <w:b/>
        </w:rPr>
        <w:lastRenderedPageBreak/>
        <w:t>3.3. Special requirements (if any).</w:t>
      </w:r>
    </w:p>
    <w:tbl>
      <w:tblPr>
        <w:tblStyle w:val="TableGrid"/>
        <w:tblW w:w="0" w:type="auto"/>
        <w:tblLook w:val="04A0" w:firstRow="1" w:lastRow="0" w:firstColumn="1" w:lastColumn="0" w:noHBand="0" w:noVBand="1"/>
      </w:tblPr>
      <w:tblGrid>
        <w:gridCol w:w="9638"/>
      </w:tblGrid>
      <w:tr w:rsidR="007510A9" w:rsidRPr="001F0F0C" w14:paraId="67452A53" w14:textId="77777777" w:rsidTr="000F0809">
        <w:tc>
          <w:tcPr>
            <w:tcW w:w="9854" w:type="dxa"/>
            <w:tcBorders>
              <w:top w:val="nil"/>
              <w:left w:val="nil"/>
              <w:bottom w:val="nil"/>
              <w:right w:val="nil"/>
            </w:tcBorders>
          </w:tcPr>
          <w:p w14:paraId="78F19745" w14:textId="77777777" w:rsidR="007510A9" w:rsidRPr="001F0F0C" w:rsidRDefault="007510A9">
            <w:pPr>
              <w:jc w:val="both"/>
              <w:rPr>
                <w:rFonts w:ascii="Arial" w:hAnsi="Arial" w:cs="Arial"/>
              </w:rPr>
            </w:pPr>
          </w:p>
        </w:tc>
      </w:tr>
      <w:tr w:rsidR="007510A9" w:rsidRPr="001F0F0C" w14:paraId="25595359" w14:textId="77777777" w:rsidTr="000F0809">
        <w:tc>
          <w:tcPr>
            <w:tcW w:w="9854" w:type="dxa"/>
            <w:tcBorders>
              <w:top w:val="nil"/>
              <w:left w:val="nil"/>
              <w:bottom w:val="nil"/>
              <w:right w:val="nil"/>
            </w:tcBorders>
          </w:tcPr>
          <w:p w14:paraId="6375A085" w14:textId="12FCE767" w:rsidR="007510A9" w:rsidRPr="001F0F0C" w:rsidRDefault="00B9008C" w:rsidP="000F0809">
            <w:pPr>
              <w:jc w:val="both"/>
              <w:rPr>
                <w:rFonts w:ascii="Arial" w:hAnsi="Arial" w:cs="Arial"/>
              </w:rPr>
            </w:pPr>
            <w:r w:rsidRPr="001F0F0C">
              <w:rPr>
                <w:rFonts w:ascii="Arial" w:hAnsi="Arial"/>
              </w:rPr>
              <w:t xml:space="preserve">The new CPS shall comply with all applicable EU standards.  The CPS enclosure shall have a minimum protection rating of IP44 and IK10, be suitable for outdoor installation, and, if the enclosure is metallic, be coated with a corrosion‑resistant paint or equivalent protective layer. All CPS enclosures shall be lockable. </w:t>
            </w:r>
          </w:p>
          <w:p w14:paraId="329BFD83" w14:textId="0ED9095F" w:rsidR="007510A9" w:rsidRPr="001F0F0C" w:rsidRDefault="00663DA4" w:rsidP="000F0809">
            <w:pPr>
              <w:jc w:val="both"/>
              <w:rPr>
                <w:rFonts w:ascii="Arial" w:hAnsi="Arial" w:cs="Arial"/>
              </w:rPr>
            </w:pPr>
            <w:r w:rsidRPr="001F0F0C">
              <w:rPr>
                <w:rFonts w:ascii="Arial" w:hAnsi="Arial"/>
              </w:rPr>
              <w:t>The CPS shall have a power rating of 1.2 kW, supply voltage AC 220 V/50 Hz, maximum output voltage 24/48 V, maximum output current 50/25 A, potential adjustment range -0.8 V to -3.5 V, surge/lightning protection for all  measuring, cathodic and anode circuits, protection against internal and external short circuits with automatic reset, an automatic redundant control module that activates in case of primary control failure, automatic detection of breaks in power, measurement, cathode and anode cables, continuous reference‑electrode monitoring, tamper detection, ON–OFF mode, and an internal battery ensuring operation of the main control module for at least 24 hours in case of power loss.  The CPS shall have a lifetime of not less than 15 years.</w:t>
            </w:r>
            <w:r w:rsidR="007510A9" w:rsidRPr="001F0F0C">
              <w:rPr>
                <w:rFonts w:ascii="Arial" w:hAnsi="Arial"/>
              </w:rPr>
              <w:t xml:space="preserve">                                                                  </w:t>
            </w:r>
          </w:p>
        </w:tc>
      </w:tr>
    </w:tbl>
    <w:p w14:paraId="6EDF3F1E" w14:textId="77777777" w:rsidR="007510A9" w:rsidRPr="001F0F0C" w:rsidRDefault="007510A9" w:rsidP="00BD4CDB">
      <w:pPr>
        <w:spacing w:after="0" w:line="240" w:lineRule="auto"/>
        <w:jc w:val="both"/>
        <w:rPr>
          <w:rFonts w:ascii="Arial" w:hAnsi="Arial" w:cs="Arial"/>
          <w:b/>
        </w:rPr>
      </w:pPr>
    </w:p>
    <w:p w14:paraId="05854E2C" w14:textId="77777777" w:rsidR="00BD4CDB" w:rsidRPr="001F0F0C" w:rsidRDefault="007510A9" w:rsidP="00BD4CDB">
      <w:pPr>
        <w:spacing w:after="0" w:line="240" w:lineRule="auto"/>
        <w:jc w:val="both"/>
        <w:rPr>
          <w:rFonts w:ascii="Arial" w:hAnsi="Arial" w:cs="Arial"/>
          <w:b/>
        </w:rPr>
      </w:pPr>
      <w:r w:rsidRPr="001F0F0C">
        <w:rPr>
          <w:rFonts w:ascii="Arial" w:hAnsi="Arial"/>
          <w:b/>
        </w:rPr>
        <w:t>3.4. Requirements for work execution and documentation.</w:t>
      </w:r>
    </w:p>
    <w:tbl>
      <w:tblPr>
        <w:tblStyle w:val="TableGrid"/>
        <w:tblW w:w="0" w:type="auto"/>
        <w:tblLook w:val="04A0" w:firstRow="1" w:lastRow="0" w:firstColumn="1" w:lastColumn="0" w:noHBand="0" w:noVBand="1"/>
      </w:tblPr>
      <w:tblGrid>
        <w:gridCol w:w="9638"/>
      </w:tblGrid>
      <w:tr w:rsidR="00FD3423" w:rsidRPr="001F0F0C" w14:paraId="433A9E3E" w14:textId="77777777" w:rsidTr="00F31817">
        <w:tc>
          <w:tcPr>
            <w:tcW w:w="9854" w:type="dxa"/>
            <w:tcBorders>
              <w:top w:val="nil"/>
              <w:left w:val="nil"/>
              <w:bottom w:val="nil"/>
              <w:right w:val="nil"/>
            </w:tcBorders>
          </w:tcPr>
          <w:p w14:paraId="6614B397" w14:textId="77777777" w:rsidR="00FD3423" w:rsidRPr="001F0F0C" w:rsidRDefault="00FD3423">
            <w:pPr>
              <w:jc w:val="both"/>
              <w:rPr>
                <w:rFonts w:ascii="Arial" w:hAnsi="Arial" w:cs="Arial"/>
                <w:i/>
                <w:color w:val="808080" w:themeColor="background1" w:themeShade="80"/>
              </w:rPr>
            </w:pPr>
          </w:p>
        </w:tc>
      </w:tr>
      <w:tr w:rsidR="00F31817" w:rsidRPr="001F0F0C" w14:paraId="2AF25227" w14:textId="77777777" w:rsidTr="00F31817">
        <w:tc>
          <w:tcPr>
            <w:tcW w:w="9854" w:type="dxa"/>
            <w:tcBorders>
              <w:top w:val="nil"/>
              <w:left w:val="nil"/>
              <w:bottom w:val="nil"/>
              <w:right w:val="nil"/>
            </w:tcBorders>
          </w:tcPr>
          <w:p w14:paraId="29E7569B" w14:textId="3A204E87" w:rsidR="00F31817" w:rsidRPr="001F0F0C" w:rsidRDefault="00430D46" w:rsidP="009F1801">
            <w:pPr>
              <w:jc w:val="both"/>
              <w:rPr>
                <w:rFonts w:ascii="Arial" w:hAnsi="Arial" w:cs="Arial"/>
              </w:rPr>
            </w:pPr>
            <w:r w:rsidRPr="001F0F0C">
              <w:rPr>
                <w:rFonts w:ascii="Arial" w:hAnsi="Arial"/>
              </w:rPr>
              <w:t>Upon completion of the works, the Contractor shall prepare and submit all relevant technical documentation in accordance with the applicable normative acts of the Republic of Lithuania and the requirements of the Owner.</w:t>
            </w:r>
            <w:r w:rsidR="00F31817" w:rsidRPr="001F0F0C">
              <w:rPr>
                <w:rFonts w:ascii="Arial" w:hAnsi="Arial"/>
              </w:rPr>
              <w:t xml:space="preserve">                                                               </w:t>
            </w:r>
          </w:p>
        </w:tc>
      </w:tr>
    </w:tbl>
    <w:p w14:paraId="2D46647B" w14:textId="77777777" w:rsidR="00BD4CDB" w:rsidRPr="001F0F0C" w:rsidRDefault="00BD4CDB" w:rsidP="00BD4CDB">
      <w:pPr>
        <w:spacing w:after="0" w:line="240" w:lineRule="auto"/>
        <w:jc w:val="both"/>
        <w:rPr>
          <w:rFonts w:ascii="Arial" w:hAnsi="Arial" w:cs="Arial"/>
        </w:rPr>
      </w:pPr>
    </w:p>
    <w:p w14:paraId="00899303" w14:textId="77777777" w:rsidR="00BD4CDB" w:rsidRPr="001F0F0C" w:rsidRDefault="007510A9" w:rsidP="00BD4CDB">
      <w:pPr>
        <w:spacing w:after="0" w:line="240" w:lineRule="auto"/>
        <w:jc w:val="both"/>
        <w:rPr>
          <w:rFonts w:ascii="Arial" w:hAnsi="Arial" w:cs="Arial"/>
          <w:b/>
        </w:rPr>
      </w:pPr>
      <w:r w:rsidRPr="001F0F0C">
        <w:rPr>
          <w:rFonts w:ascii="Arial" w:hAnsi="Arial"/>
          <w:b/>
        </w:rPr>
        <w:t>3.5. Qualification requirements for Contractor.</w:t>
      </w:r>
    </w:p>
    <w:tbl>
      <w:tblPr>
        <w:tblStyle w:val="TableGrid"/>
        <w:tblW w:w="0" w:type="auto"/>
        <w:tblLook w:val="04A0" w:firstRow="1" w:lastRow="0" w:firstColumn="1" w:lastColumn="0" w:noHBand="0" w:noVBand="1"/>
      </w:tblPr>
      <w:tblGrid>
        <w:gridCol w:w="9638"/>
      </w:tblGrid>
      <w:tr w:rsidR="00F31817" w:rsidRPr="001F0F0C" w14:paraId="1F521FDF" w14:textId="77777777" w:rsidTr="00F31817">
        <w:tc>
          <w:tcPr>
            <w:tcW w:w="9854" w:type="dxa"/>
            <w:tcBorders>
              <w:top w:val="nil"/>
              <w:left w:val="nil"/>
              <w:bottom w:val="nil"/>
              <w:right w:val="nil"/>
            </w:tcBorders>
          </w:tcPr>
          <w:p w14:paraId="38D982C7" w14:textId="77777777" w:rsidR="00BE5DEB" w:rsidRPr="001F0F0C" w:rsidRDefault="00BE5DEB" w:rsidP="009F1801">
            <w:pPr>
              <w:jc w:val="both"/>
              <w:rPr>
                <w:rFonts w:ascii="Arial" w:hAnsi="Arial" w:cs="Arial"/>
              </w:rPr>
            </w:pPr>
          </w:p>
          <w:p w14:paraId="0B7AD7FA" w14:textId="77777777" w:rsidR="00202A47" w:rsidRPr="001F0F0C" w:rsidRDefault="00AB1A8D" w:rsidP="003C17B2">
            <w:pPr>
              <w:pStyle w:val="ListParagraph"/>
              <w:numPr>
                <w:ilvl w:val="0"/>
                <w:numId w:val="6"/>
              </w:numPr>
              <w:jc w:val="both"/>
              <w:rPr>
                <w:rFonts w:ascii="Arial" w:hAnsi="Arial" w:cs="Arial"/>
              </w:rPr>
            </w:pPr>
            <w:r w:rsidRPr="001F0F0C">
              <w:rPr>
                <w:rFonts w:ascii="Arial" w:hAnsi="Arial"/>
              </w:rPr>
              <w:t xml:space="preserve">The Contractor shall have proven experience in performing works of this type and shall employ properly trained and qualified personnel certified in accordance with the legal acts of the Republic of Lithuania. The Contractor shall also possess all necessary equipment, tools, and materials. </w:t>
            </w:r>
          </w:p>
          <w:p w14:paraId="02BC3BEF" w14:textId="77777777" w:rsidR="00202A47" w:rsidRPr="001F0F0C" w:rsidRDefault="00202A47" w:rsidP="003C17B2">
            <w:pPr>
              <w:pStyle w:val="ListParagraph"/>
              <w:numPr>
                <w:ilvl w:val="0"/>
                <w:numId w:val="6"/>
              </w:numPr>
              <w:jc w:val="both"/>
              <w:rPr>
                <w:rStyle w:val="Hyperlink"/>
                <w:rFonts w:ascii="Arial" w:hAnsi="Arial" w:cs="Arial"/>
                <w:color w:val="auto"/>
                <w:u w:val="none"/>
              </w:rPr>
            </w:pPr>
            <w:r w:rsidRPr="001F0F0C">
              <w:rPr>
                <w:rFonts w:ascii="Arial" w:hAnsi="Arial"/>
              </w:rPr>
              <w:t xml:space="preserve">The Contractor shall familiarize itself with and comply with all requirements established in the Occupational Health and Safety (OHS) Procedures of AB ORLEN Lietuva applicable to the respective works.  The list of documents and related information is available at </w:t>
            </w:r>
            <w:hyperlink r:id="rId8" w:history="1">
              <w:r w:rsidRPr="001F0F0C">
                <w:rPr>
                  <w:rStyle w:val="Hyperlink"/>
                  <w:rFonts w:ascii="Arial" w:hAnsi="Arial"/>
                </w:rPr>
                <w:t>http://www.orlenlietuva.lt/LT/OurOffer/Forcontractors/Puslapiai/default.aspx</w:t>
              </w:r>
            </w:hyperlink>
            <w:r w:rsidRPr="001F0F0C">
              <w:rPr>
                <w:rStyle w:val="Hyperlink"/>
                <w:rFonts w:ascii="Arial" w:hAnsi="Arial"/>
              </w:rPr>
              <w:t xml:space="preserve">; </w:t>
            </w:r>
          </w:p>
          <w:p w14:paraId="0A53F673" w14:textId="77777777" w:rsidR="00AA537E" w:rsidRPr="001F0F0C" w:rsidRDefault="00AA537E" w:rsidP="00B82C6F">
            <w:pPr>
              <w:pStyle w:val="ListParagraph"/>
              <w:numPr>
                <w:ilvl w:val="0"/>
                <w:numId w:val="6"/>
              </w:numPr>
              <w:jc w:val="both"/>
              <w:rPr>
                <w:rFonts w:ascii="Arial" w:hAnsi="Arial" w:cs="Arial"/>
              </w:rPr>
            </w:pPr>
            <w:r w:rsidRPr="001F0F0C">
              <w:rPr>
                <w:rStyle w:val="Hyperlink"/>
                <w:rFonts w:ascii="Arial" w:hAnsi="Arial"/>
                <w:color w:val="auto"/>
                <w:u w:val="none"/>
              </w:rPr>
              <w:t>The Contractor shall perform works on live power installations in accordance with the requirements established by the legal acts of the Republic of Lithuania, including but not limited to: SEEĮT, EETET, EĮBNA, NNPMJVET (full titles provided below).</w:t>
            </w:r>
          </w:p>
          <w:p w14:paraId="52225D37" w14:textId="77777777" w:rsidR="00AA537E" w:rsidRPr="001F0F0C" w:rsidRDefault="00910418" w:rsidP="003C17B2">
            <w:pPr>
              <w:pStyle w:val="ListParagraph"/>
              <w:numPr>
                <w:ilvl w:val="0"/>
                <w:numId w:val="6"/>
              </w:numPr>
              <w:jc w:val="both"/>
              <w:rPr>
                <w:rFonts w:ascii="Arial" w:hAnsi="Arial" w:cs="Arial"/>
              </w:rPr>
            </w:pPr>
            <w:r w:rsidRPr="001F0F0C">
              <w:rPr>
                <w:rFonts w:ascii="Arial" w:hAnsi="Arial"/>
              </w:rPr>
              <w:t xml:space="preserve">Before commencing the works, the Contractor shall:  </w:t>
            </w:r>
          </w:p>
          <w:p w14:paraId="0B5EE3BC" w14:textId="77777777" w:rsidR="00910418" w:rsidRPr="001F0F0C" w:rsidRDefault="00AA537E" w:rsidP="00AA537E">
            <w:pPr>
              <w:pStyle w:val="ListParagraph"/>
              <w:numPr>
                <w:ilvl w:val="1"/>
                <w:numId w:val="6"/>
              </w:numPr>
              <w:jc w:val="both"/>
              <w:rPr>
                <w:rFonts w:ascii="Arial" w:hAnsi="Arial" w:cs="Arial"/>
              </w:rPr>
            </w:pPr>
            <w:r w:rsidRPr="001F0F0C">
              <w:rPr>
                <w:rFonts w:ascii="Arial" w:hAnsi="Arial"/>
              </w:rPr>
              <w:t>Submit all documents required under AB ORLEN Lietuva OHS Procedure BDS‑40 for Contractors;  Commence works only upon submitting the Statement on the Contractor’s Preparedness to start the works at  AB ORLEN Lietuva (Attachment No. 2 to Procedure BDS‑40);</w:t>
            </w:r>
          </w:p>
          <w:p w14:paraId="525368E8" w14:textId="77777777" w:rsidR="00AA537E" w:rsidRPr="001F0F0C" w:rsidRDefault="00AA537E" w:rsidP="00AA537E">
            <w:pPr>
              <w:pStyle w:val="ListParagraph"/>
              <w:numPr>
                <w:ilvl w:val="1"/>
                <w:numId w:val="6"/>
              </w:numPr>
              <w:jc w:val="both"/>
              <w:rPr>
                <w:rFonts w:ascii="Arial" w:hAnsi="Arial" w:cs="Arial"/>
              </w:rPr>
            </w:pPr>
            <w:r w:rsidRPr="001F0F0C">
              <w:rPr>
                <w:rFonts w:ascii="Arial" w:hAnsi="Arial"/>
              </w:rPr>
              <w:t>Submit a list of employees who will carry out works on the Owner’s live power installations;</w:t>
            </w:r>
          </w:p>
          <w:p w14:paraId="64EC5C4E" w14:textId="77777777" w:rsidR="00AA537E" w:rsidRPr="001F0F0C" w:rsidRDefault="00AA537E" w:rsidP="00AA537E">
            <w:pPr>
              <w:pStyle w:val="ListParagraph"/>
              <w:numPr>
                <w:ilvl w:val="1"/>
                <w:numId w:val="6"/>
              </w:numPr>
              <w:jc w:val="both"/>
              <w:rPr>
                <w:rFonts w:ascii="Arial" w:hAnsi="Arial" w:cs="Arial"/>
              </w:rPr>
            </w:pPr>
            <w:r w:rsidRPr="001F0F0C">
              <w:rPr>
                <w:rFonts w:ascii="Arial" w:hAnsi="Arial"/>
              </w:rPr>
              <w:t>Sign the Statement on the Limits of Responsibility for OHS with the Owner;</w:t>
            </w:r>
          </w:p>
          <w:p w14:paraId="5A9DF5E0" w14:textId="77777777" w:rsidR="00B82C6F" w:rsidRPr="001F0F0C" w:rsidRDefault="00B82C6F" w:rsidP="00AA537E">
            <w:pPr>
              <w:pStyle w:val="ListParagraph"/>
              <w:numPr>
                <w:ilvl w:val="1"/>
                <w:numId w:val="6"/>
              </w:numPr>
              <w:jc w:val="both"/>
              <w:rPr>
                <w:rFonts w:ascii="Arial" w:hAnsi="Arial" w:cs="Arial"/>
              </w:rPr>
            </w:pPr>
            <w:r w:rsidRPr="001F0F0C">
              <w:rPr>
                <w:rFonts w:ascii="Arial" w:hAnsi="Arial"/>
              </w:rPr>
              <w:t>Start works on the Owner’s live power installations only after the Owner issues an official decree authorizing such works.</w:t>
            </w:r>
          </w:p>
          <w:p w14:paraId="78EE6E89" w14:textId="77777777" w:rsidR="003C17B2" w:rsidRPr="001F0F0C" w:rsidRDefault="003C17B2" w:rsidP="00B82C6F">
            <w:pPr>
              <w:pStyle w:val="ListParagraph"/>
              <w:jc w:val="both"/>
              <w:rPr>
                <w:rFonts w:ascii="Arial" w:hAnsi="Arial" w:cs="Arial"/>
              </w:rPr>
            </w:pPr>
          </w:p>
          <w:p w14:paraId="6E1367A4" w14:textId="77777777" w:rsidR="00B82C6F" w:rsidRPr="001F0F0C" w:rsidRDefault="00B82C6F" w:rsidP="00B82C6F">
            <w:pPr>
              <w:pStyle w:val="ListParagraph"/>
              <w:ind w:left="0"/>
              <w:jc w:val="both"/>
              <w:rPr>
                <w:rFonts w:ascii="Arial" w:hAnsi="Arial" w:cs="Arial"/>
              </w:rPr>
            </w:pPr>
            <w:r w:rsidRPr="001F0F0C">
              <w:rPr>
                <w:rFonts w:ascii="Arial" w:hAnsi="Arial"/>
              </w:rPr>
              <w:t>SEEĮT – Safety Regulations for Operation of Electrical Equipment;</w:t>
            </w:r>
          </w:p>
          <w:p w14:paraId="797BF1BD" w14:textId="77777777" w:rsidR="00B82C6F" w:rsidRPr="001F0F0C" w:rsidRDefault="00B82C6F" w:rsidP="00B82C6F">
            <w:pPr>
              <w:pStyle w:val="ListParagraph"/>
              <w:ind w:left="0"/>
              <w:jc w:val="both"/>
              <w:rPr>
                <w:rFonts w:ascii="Arial" w:hAnsi="Arial" w:cs="Arial"/>
              </w:rPr>
            </w:pPr>
            <w:r w:rsidRPr="001F0F0C">
              <w:rPr>
                <w:rFonts w:ascii="Arial" w:hAnsi="Arial"/>
              </w:rPr>
              <w:t>EETET – Power Station and Electrical Network Operation Regulations;</w:t>
            </w:r>
          </w:p>
          <w:p w14:paraId="22F5E6E8" w14:textId="77777777" w:rsidR="00B82C6F" w:rsidRPr="001F0F0C" w:rsidRDefault="00B82C6F" w:rsidP="00B82C6F">
            <w:pPr>
              <w:pStyle w:val="ListParagraph"/>
              <w:ind w:left="0"/>
              <w:jc w:val="both"/>
              <w:rPr>
                <w:rFonts w:ascii="Arial" w:hAnsi="Arial" w:cs="Arial"/>
              </w:rPr>
            </w:pPr>
            <w:r w:rsidRPr="001F0F0C">
              <w:rPr>
                <w:rFonts w:ascii="Arial" w:hAnsi="Arial"/>
              </w:rPr>
              <w:t>EĮBNA – Electrical Equipment Testing Norms and Scopes;</w:t>
            </w:r>
          </w:p>
          <w:p w14:paraId="4EA826E0" w14:textId="77777777" w:rsidR="00B82C6F" w:rsidRPr="001F0F0C" w:rsidRDefault="00B82C6F" w:rsidP="00B82C6F">
            <w:pPr>
              <w:pStyle w:val="ListParagraph"/>
              <w:ind w:left="0"/>
              <w:jc w:val="both"/>
              <w:rPr>
                <w:rFonts w:ascii="Arial" w:hAnsi="Arial" w:cs="Arial"/>
              </w:rPr>
            </w:pPr>
            <w:r w:rsidRPr="001F0F0C">
              <w:rPr>
                <w:rFonts w:ascii="Arial" w:hAnsi="Arial"/>
              </w:rPr>
              <w:t>NNPMJVET – Crude Oil and Petroleum Product Onshore and Offshore Pipeline Operation Regulations.</w:t>
            </w:r>
          </w:p>
          <w:p w14:paraId="23E83BFD" w14:textId="77777777" w:rsidR="00F31817" w:rsidRPr="001F0F0C" w:rsidRDefault="00F31817" w:rsidP="009F1801">
            <w:pPr>
              <w:jc w:val="both"/>
              <w:rPr>
                <w:rFonts w:ascii="Arial" w:hAnsi="Arial" w:cs="Arial"/>
              </w:rPr>
            </w:pPr>
            <w:r w:rsidRPr="001F0F0C">
              <w:rPr>
                <w:rFonts w:ascii="Arial" w:hAnsi="Arial"/>
              </w:rPr>
              <w:t xml:space="preserve">                                                                 </w:t>
            </w:r>
          </w:p>
        </w:tc>
      </w:tr>
      <w:tr w:rsidR="00AA537E" w:rsidRPr="001F0F0C" w14:paraId="2CC5E92E" w14:textId="77777777" w:rsidTr="00F31817">
        <w:tc>
          <w:tcPr>
            <w:tcW w:w="9854" w:type="dxa"/>
            <w:tcBorders>
              <w:top w:val="nil"/>
              <w:left w:val="nil"/>
              <w:bottom w:val="nil"/>
              <w:right w:val="nil"/>
            </w:tcBorders>
          </w:tcPr>
          <w:p w14:paraId="2C9D6203" w14:textId="77777777" w:rsidR="00AA537E" w:rsidRPr="001F0F0C" w:rsidRDefault="00AA537E" w:rsidP="009F1801">
            <w:pPr>
              <w:jc w:val="both"/>
              <w:rPr>
                <w:rFonts w:ascii="Arial" w:hAnsi="Arial" w:cs="Arial"/>
              </w:rPr>
            </w:pPr>
          </w:p>
        </w:tc>
      </w:tr>
    </w:tbl>
    <w:p w14:paraId="3F8F4641" w14:textId="77777777" w:rsidR="00BD4CDB" w:rsidRPr="001F0F0C" w:rsidRDefault="00BD4CDB" w:rsidP="00BD4CDB">
      <w:pPr>
        <w:spacing w:after="0" w:line="240" w:lineRule="auto"/>
        <w:jc w:val="both"/>
        <w:rPr>
          <w:rFonts w:ascii="Arial" w:hAnsi="Arial" w:cs="Arial"/>
          <w:b/>
        </w:rPr>
      </w:pPr>
      <w:r w:rsidRPr="001F0F0C">
        <w:rPr>
          <w:rFonts w:ascii="Arial" w:hAnsi="Arial"/>
          <w:b/>
        </w:rPr>
        <w:t>4. Materials, equipment, and services to be provided by the Owner.</w:t>
      </w:r>
    </w:p>
    <w:tbl>
      <w:tblPr>
        <w:tblStyle w:val="TableGrid"/>
        <w:tblW w:w="0" w:type="auto"/>
        <w:tblLook w:val="04A0" w:firstRow="1" w:lastRow="0" w:firstColumn="1" w:lastColumn="0" w:noHBand="0" w:noVBand="1"/>
      </w:tblPr>
      <w:tblGrid>
        <w:gridCol w:w="9638"/>
      </w:tblGrid>
      <w:tr w:rsidR="00FD3423" w:rsidRPr="001F0F0C" w14:paraId="33901455" w14:textId="77777777" w:rsidTr="00F31817">
        <w:tc>
          <w:tcPr>
            <w:tcW w:w="9854" w:type="dxa"/>
            <w:tcBorders>
              <w:top w:val="nil"/>
              <w:left w:val="nil"/>
              <w:bottom w:val="nil"/>
              <w:right w:val="nil"/>
            </w:tcBorders>
          </w:tcPr>
          <w:p w14:paraId="7686FC75" w14:textId="77777777" w:rsidR="00FD3423" w:rsidRPr="001F0F0C" w:rsidRDefault="00FD3423">
            <w:pPr>
              <w:jc w:val="both"/>
              <w:rPr>
                <w:rFonts w:ascii="Arial" w:hAnsi="Arial" w:cs="Arial"/>
                <w:i/>
                <w:color w:val="808080" w:themeColor="background1" w:themeShade="80"/>
              </w:rPr>
            </w:pPr>
          </w:p>
        </w:tc>
      </w:tr>
      <w:tr w:rsidR="00F31817" w:rsidRPr="001F0F0C" w14:paraId="143C6CC8" w14:textId="77777777" w:rsidTr="00F31817">
        <w:tc>
          <w:tcPr>
            <w:tcW w:w="9854" w:type="dxa"/>
            <w:tcBorders>
              <w:top w:val="nil"/>
              <w:left w:val="nil"/>
              <w:bottom w:val="nil"/>
              <w:right w:val="nil"/>
            </w:tcBorders>
          </w:tcPr>
          <w:p w14:paraId="3968D639" w14:textId="77777777" w:rsidR="00F31817" w:rsidRPr="001F0F0C" w:rsidRDefault="00C64F08" w:rsidP="00BE5DEB">
            <w:pPr>
              <w:pStyle w:val="ListParagraph"/>
              <w:numPr>
                <w:ilvl w:val="0"/>
                <w:numId w:val="4"/>
              </w:numPr>
              <w:jc w:val="both"/>
              <w:rPr>
                <w:rFonts w:ascii="Arial" w:hAnsi="Arial" w:cs="Arial"/>
              </w:rPr>
            </w:pPr>
            <w:r w:rsidRPr="001F0F0C">
              <w:rPr>
                <w:rFonts w:ascii="Arial" w:hAnsi="Arial"/>
              </w:rPr>
              <w:t>The Owner will provide SIM cards for the modems;</w:t>
            </w:r>
          </w:p>
          <w:p w14:paraId="05EF1E47" w14:textId="77777777" w:rsidR="00BE5DEB" w:rsidRPr="001F0F0C" w:rsidRDefault="00BE5DEB" w:rsidP="00BE5DEB">
            <w:pPr>
              <w:pStyle w:val="ListParagraph"/>
              <w:numPr>
                <w:ilvl w:val="0"/>
                <w:numId w:val="4"/>
              </w:numPr>
              <w:jc w:val="both"/>
              <w:rPr>
                <w:rFonts w:ascii="Arial" w:hAnsi="Arial" w:cs="Arial"/>
              </w:rPr>
            </w:pPr>
            <w:r w:rsidRPr="001F0F0C">
              <w:rPr>
                <w:rFonts w:ascii="Arial" w:hAnsi="Arial"/>
              </w:rPr>
              <w:t>The Owner will provide available information about the land plot owners where the works will be carried out (i.e., contact details).</w:t>
            </w:r>
          </w:p>
          <w:p w14:paraId="41694DE7" w14:textId="77777777" w:rsidR="00BE5DEB" w:rsidRPr="001F0F0C" w:rsidRDefault="00BE5DEB" w:rsidP="00BE5DEB">
            <w:pPr>
              <w:pStyle w:val="ListParagraph"/>
              <w:numPr>
                <w:ilvl w:val="0"/>
                <w:numId w:val="4"/>
              </w:numPr>
              <w:jc w:val="both"/>
              <w:rPr>
                <w:rFonts w:ascii="Arial" w:hAnsi="Arial" w:cs="Arial"/>
              </w:rPr>
            </w:pPr>
            <w:r w:rsidRPr="001F0F0C">
              <w:rPr>
                <w:rFonts w:ascii="Arial" w:hAnsi="Arial"/>
              </w:rPr>
              <w:t>If possible, and if sufficient allowable electrical capacity is available, the Owner shall provide power supply to the main pipeline (MP) facilities where the CPS replacement works will be performed. In such cases, the Contractor shall arrange temporary connection of its own powered machinery, tools, or equipment to the Owner’s electrical network in accordance with the requirements of Procedure BE‑16 (Procedure for Temporary Powering of Electrical Equipment).</w:t>
            </w:r>
          </w:p>
          <w:p w14:paraId="7FDE7506" w14:textId="77777777" w:rsidR="00F31817" w:rsidRPr="001F0F0C" w:rsidRDefault="00F31817" w:rsidP="009F1801">
            <w:pPr>
              <w:jc w:val="both"/>
              <w:rPr>
                <w:rFonts w:ascii="Arial" w:hAnsi="Arial" w:cs="Arial"/>
              </w:rPr>
            </w:pPr>
            <w:r w:rsidRPr="001F0F0C">
              <w:rPr>
                <w:rFonts w:ascii="Arial" w:hAnsi="Arial"/>
              </w:rPr>
              <w:t xml:space="preserve">                                                                 </w:t>
            </w:r>
          </w:p>
        </w:tc>
      </w:tr>
    </w:tbl>
    <w:p w14:paraId="6D25E309" w14:textId="77777777" w:rsidR="00D11D61" w:rsidRPr="001F0F0C" w:rsidRDefault="00D11D61" w:rsidP="00BD4CDB">
      <w:pPr>
        <w:spacing w:after="0" w:line="240" w:lineRule="auto"/>
        <w:jc w:val="both"/>
        <w:rPr>
          <w:rFonts w:ascii="Arial" w:hAnsi="Arial" w:cs="Arial"/>
          <w:b/>
        </w:rPr>
      </w:pPr>
      <w:r w:rsidRPr="001F0F0C">
        <w:rPr>
          <w:rFonts w:ascii="Arial" w:hAnsi="Arial"/>
          <w:b/>
        </w:rPr>
        <w:t>5. Materials, equipment, and services to be provided by the Contractor.</w:t>
      </w:r>
    </w:p>
    <w:tbl>
      <w:tblPr>
        <w:tblStyle w:val="TableGrid"/>
        <w:tblW w:w="0" w:type="auto"/>
        <w:tblLook w:val="04A0" w:firstRow="1" w:lastRow="0" w:firstColumn="1" w:lastColumn="0" w:noHBand="0" w:noVBand="1"/>
      </w:tblPr>
      <w:tblGrid>
        <w:gridCol w:w="9638"/>
      </w:tblGrid>
      <w:tr w:rsidR="00F31817" w:rsidRPr="001F0F0C" w14:paraId="2E8AF7CD" w14:textId="77777777" w:rsidTr="00F31817">
        <w:tc>
          <w:tcPr>
            <w:tcW w:w="9854" w:type="dxa"/>
            <w:tcBorders>
              <w:top w:val="nil"/>
              <w:left w:val="nil"/>
              <w:bottom w:val="nil"/>
              <w:right w:val="nil"/>
            </w:tcBorders>
          </w:tcPr>
          <w:p w14:paraId="6183BAD1" w14:textId="77777777" w:rsidR="00BE5DEB" w:rsidRPr="001F0F0C" w:rsidRDefault="00BE5DEB" w:rsidP="009F1801">
            <w:pPr>
              <w:jc w:val="both"/>
              <w:rPr>
                <w:rFonts w:ascii="Arial" w:hAnsi="Arial" w:cs="Arial"/>
              </w:rPr>
            </w:pPr>
          </w:p>
          <w:p w14:paraId="15A2C928" w14:textId="77777777" w:rsidR="00BE5DEB" w:rsidRPr="001F0F0C" w:rsidRDefault="00BE5DEB" w:rsidP="00BE5DEB">
            <w:pPr>
              <w:pStyle w:val="ListParagraph"/>
              <w:numPr>
                <w:ilvl w:val="0"/>
                <w:numId w:val="5"/>
              </w:numPr>
              <w:jc w:val="both"/>
              <w:rPr>
                <w:rFonts w:ascii="Arial" w:hAnsi="Arial" w:cs="Arial"/>
              </w:rPr>
            </w:pPr>
            <w:r w:rsidRPr="001F0F0C">
              <w:rPr>
                <w:rFonts w:ascii="Arial" w:hAnsi="Arial"/>
              </w:rPr>
              <w:t>The Contractor shall provide all machinery, tools, equipment, transport, and materials necessary for the execution of the works.</w:t>
            </w:r>
          </w:p>
          <w:p w14:paraId="210BC638" w14:textId="77777777" w:rsidR="00BE5DEB" w:rsidRPr="001F0F0C" w:rsidRDefault="00BE5DEB" w:rsidP="00BE5DEB">
            <w:pPr>
              <w:pStyle w:val="ListParagraph"/>
              <w:numPr>
                <w:ilvl w:val="0"/>
                <w:numId w:val="5"/>
              </w:numPr>
              <w:jc w:val="both"/>
              <w:rPr>
                <w:rFonts w:ascii="Arial" w:hAnsi="Arial" w:cs="Arial"/>
              </w:rPr>
            </w:pPr>
            <w:r w:rsidRPr="001F0F0C">
              <w:rPr>
                <w:rFonts w:ascii="Arial" w:hAnsi="Arial"/>
              </w:rPr>
              <w:t>If relocation of electrical metering is required, the Contractor shall coordinate with AB ESO and ensure that all related works are carried out in full compliance with the requirements of both the Owner and AB ESO.</w:t>
            </w:r>
          </w:p>
          <w:p w14:paraId="5BC01F25" w14:textId="6F8DBA55" w:rsidR="00F31817" w:rsidRPr="001F0F0C" w:rsidRDefault="0084112D" w:rsidP="00BE5DEB">
            <w:pPr>
              <w:pStyle w:val="ListParagraph"/>
              <w:numPr>
                <w:ilvl w:val="0"/>
                <w:numId w:val="5"/>
              </w:numPr>
              <w:jc w:val="both"/>
              <w:rPr>
                <w:rFonts w:ascii="Arial" w:hAnsi="Arial" w:cs="Arial"/>
              </w:rPr>
            </w:pPr>
            <w:r w:rsidRPr="001F0F0C">
              <w:rPr>
                <w:rFonts w:ascii="Arial" w:hAnsi="Arial"/>
              </w:rPr>
              <w:t xml:space="preserve">The Contractor shall have certified and experienced personnel, as well as the necessary equipment, materials, and machinery required for the works. If necessary, the Contractor shall also supply any new software. </w:t>
            </w:r>
          </w:p>
          <w:p w14:paraId="7477AF3F" w14:textId="77777777" w:rsidR="00F31817" w:rsidRPr="001F0F0C" w:rsidRDefault="00F31817" w:rsidP="009F1801">
            <w:pPr>
              <w:jc w:val="both"/>
              <w:rPr>
                <w:rFonts w:ascii="Arial" w:hAnsi="Arial" w:cs="Arial"/>
              </w:rPr>
            </w:pPr>
            <w:r w:rsidRPr="001F0F0C">
              <w:rPr>
                <w:rFonts w:ascii="Arial" w:hAnsi="Arial"/>
              </w:rPr>
              <w:t xml:space="preserve">                                                                 </w:t>
            </w:r>
          </w:p>
        </w:tc>
      </w:tr>
    </w:tbl>
    <w:p w14:paraId="24514D50" w14:textId="77777777" w:rsidR="00BD4CDB" w:rsidRPr="001F0F0C" w:rsidRDefault="00BD4CDB" w:rsidP="00BD4CDB">
      <w:pPr>
        <w:spacing w:after="0" w:line="240" w:lineRule="auto"/>
        <w:jc w:val="both"/>
        <w:rPr>
          <w:rFonts w:ascii="Arial" w:hAnsi="Arial" w:cs="Arial"/>
        </w:rPr>
      </w:pPr>
    </w:p>
    <w:p w14:paraId="5E0FC7BC" w14:textId="77777777" w:rsidR="00AE0BD8" w:rsidRPr="001F0F0C" w:rsidRDefault="00F34D1F" w:rsidP="00BD4CDB">
      <w:pPr>
        <w:spacing w:after="0" w:line="240" w:lineRule="auto"/>
        <w:jc w:val="both"/>
        <w:rPr>
          <w:rFonts w:ascii="Arial" w:hAnsi="Arial" w:cs="Arial"/>
          <w:b/>
        </w:rPr>
      </w:pPr>
      <w:r w:rsidRPr="001F0F0C">
        <w:rPr>
          <w:rFonts w:ascii="Arial" w:hAnsi="Arial"/>
          <w:b/>
        </w:rPr>
        <w:t>6. Requirements for work completion.</w:t>
      </w:r>
    </w:p>
    <w:tbl>
      <w:tblPr>
        <w:tblStyle w:val="TableGrid"/>
        <w:tblW w:w="0" w:type="auto"/>
        <w:tblLook w:val="04A0" w:firstRow="1" w:lastRow="0" w:firstColumn="1" w:lastColumn="0" w:noHBand="0" w:noVBand="1"/>
      </w:tblPr>
      <w:tblGrid>
        <w:gridCol w:w="9638"/>
      </w:tblGrid>
      <w:tr w:rsidR="00F31817" w:rsidRPr="001F0F0C" w14:paraId="091A3E2B" w14:textId="77777777" w:rsidTr="00987011">
        <w:trPr>
          <w:trHeight w:val="243"/>
        </w:trPr>
        <w:tc>
          <w:tcPr>
            <w:tcW w:w="9854" w:type="dxa"/>
            <w:tcBorders>
              <w:top w:val="nil"/>
              <w:left w:val="nil"/>
              <w:bottom w:val="nil"/>
              <w:right w:val="nil"/>
            </w:tcBorders>
          </w:tcPr>
          <w:p w14:paraId="1E6E50B0" w14:textId="77777777" w:rsidR="00F31817" w:rsidRPr="001F0F0C" w:rsidRDefault="00F31817" w:rsidP="00BD4CDB">
            <w:pPr>
              <w:jc w:val="both"/>
              <w:rPr>
                <w:rFonts w:ascii="Arial" w:hAnsi="Arial" w:cs="Arial"/>
                <w:i/>
                <w:color w:val="808080" w:themeColor="background1" w:themeShade="80"/>
              </w:rPr>
            </w:pPr>
          </w:p>
        </w:tc>
      </w:tr>
      <w:tr w:rsidR="00F31817" w:rsidRPr="001F0F0C" w14:paraId="3124950F" w14:textId="77777777" w:rsidTr="00F31817">
        <w:tc>
          <w:tcPr>
            <w:tcW w:w="9854" w:type="dxa"/>
            <w:tcBorders>
              <w:top w:val="nil"/>
              <w:left w:val="nil"/>
              <w:bottom w:val="nil"/>
              <w:right w:val="nil"/>
            </w:tcBorders>
          </w:tcPr>
          <w:p w14:paraId="4ECF9D02" w14:textId="587C2175" w:rsidR="00F31817" w:rsidRPr="001F0F0C" w:rsidRDefault="007566A5" w:rsidP="009F1801">
            <w:pPr>
              <w:jc w:val="both"/>
              <w:rPr>
                <w:rFonts w:ascii="Arial" w:hAnsi="Arial" w:cs="Arial"/>
              </w:rPr>
            </w:pPr>
            <w:r w:rsidRPr="001F0F0C">
              <w:rPr>
                <w:rFonts w:ascii="Arial" w:hAnsi="Arial"/>
              </w:rPr>
              <w:t>Completion of CPS replacement works – no later than 31 October 2026.</w:t>
            </w:r>
          </w:p>
          <w:p w14:paraId="0DC74812" w14:textId="77777777" w:rsidR="00F31817" w:rsidRPr="001F0F0C" w:rsidRDefault="00F31817" w:rsidP="009F1801">
            <w:pPr>
              <w:jc w:val="both"/>
              <w:rPr>
                <w:rFonts w:ascii="Arial" w:hAnsi="Arial" w:cs="Arial"/>
              </w:rPr>
            </w:pPr>
            <w:r w:rsidRPr="001F0F0C">
              <w:rPr>
                <w:rFonts w:ascii="Arial" w:hAnsi="Arial"/>
              </w:rPr>
              <w:t xml:space="preserve">                                                                   </w:t>
            </w:r>
          </w:p>
        </w:tc>
      </w:tr>
    </w:tbl>
    <w:p w14:paraId="637734F7" w14:textId="77777777" w:rsidR="00F34D1F" w:rsidRPr="001F0F0C" w:rsidRDefault="00F34D1F" w:rsidP="00BD4CDB">
      <w:pPr>
        <w:spacing w:after="0" w:line="240" w:lineRule="auto"/>
        <w:jc w:val="both"/>
        <w:rPr>
          <w:rFonts w:ascii="Arial" w:hAnsi="Arial" w:cs="Arial"/>
          <w:b/>
        </w:rPr>
      </w:pPr>
      <w:r w:rsidRPr="001F0F0C">
        <w:rPr>
          <w:rFonts w:ascii="Arial" w:hAnsi="Arial"/>
          <w:b/>
        </w:rPr>
        <w:t>7. Requirements for work acceptance.</w:t>
      </w:r>
    </w:p>
    <w:tbl>
      <w:tblPr>
        <w:tblStyle w:val="TableGrid"/>
        <w:tblW w:w="0" w:type="auto"/>
        <w:tblLook w:val="04A0" w:firstRow="1" w:lastRow="0" w:firstColumn="1" w:lastColumn="0" w:noHBand="0" w:noVBand="1"/>
      </w:tblPr>
      <w:tblGrid>
        <w:gridCol w:w="9638"/>
      </w:tblGrid>
      <w:tr w:rsidR="00F31817" w:rsidRPr="001F0F0C" w14:paraId="4E2894BD" w14:textId="77777777" w:rsidTr="00F31817">
        <w:tc>
          <w:tcPr>
            <w:tcW w:w="9854" w:type="dxa"/>
            <w:tcBorders>
              <w:top w:val="nil"/>
              <w:left w:val="nil"/>
              <w:bottom w:val="nil"/>
              <w:right w:val="nil"/>
            </w:tcBorders>
          </w:tcPr>
          <w:p w14:paraId="6F37E3BC" w14:textId="77777777" w:rsidR="00F31817" w:rsidRPr="001F0F0C" w:rsidRDefault="00F31817">
            <w:pPr>
              <w:jc w:val="both"/>
              <w:rPr>
                <w:rFonts w:ascii="Arial" w:hAnsi="Arial" w:cs="Arial"/>
              </w:rPr>
            </w:pPr>
          </w:p>
        </w:tc>
      </w:tr>
      <w:tr w:rsidR="00F31817" w:rsidRPr="001F0F0C" w14:paraId="320788F0" w14:textId="77777777" w:rsidTr="00F31817">
        <w:tc>
          <w:tcPr>
            <w:tcW w:w="9854" w:type="dxa"/>
            <w:tcBorders>
              <w:top w:val="nil"/>
              <w:left w:val="nil"/>
              <w:bottom w:val="nil"/>
              <w:right w:val="nil"/>
            </w:tcBorders>
          </w:tcPr>
          <w:p w14:paraId="05DEF0CE" w14:textId="77777777" w:rsidR="00F31817" w:rsidRPr="001F0F0C" w:rsidRDefault="00797006" w:rsidP="009F1801">
            <w:pPr>
              <w:jc w:val="both"/>
              <w:rPr>
                <w:rFonts w:ascii="Arial" w:hAnsi="Arial" w:cs="Arial"/>
              </w:rPr>
            </w:pPr>
            <w:r w:rsidRPr="001F0F0C">
              <w:rPr>
                <w:rFonts w:ascii="Arial" w:hAnsi="Arial"/>
              </w:rPr>
              <w:t xml:space="preserve">The works shall be deemed completed when the Contractor has performed the full replacement of the CPS, completed commissioning and startup activities, carried out protection potential measurements at drainage points, and submitted all required technical documentation to the Owner. </w:t>
            </w:r>
          </w:p>
          <w:p w14:paraId="54C8AFA7" w14:textId="77777777" w:rsidR="00F31817" w:rsidRPr="001F0F0C" w:rsidRDefault="00F31817" w:rsidP="009F1801">
            <w:pPr>
              <w:jc w:val="both"/>
              <w:rPr>
                <w:rFonts w:ascii="Arial" w:hAnsi="Arial" w:cs="Arial"/>
              </w:rPr>
            </w:pPr>
            <w:r w:rsidRPr="001F0F0C">
              <w:rPr>
                <w:rFonts w:ascii="Arial" w:hAnsi="Arial"/>
              </w:rPr>
              <w:t xml:space="preserve">                                                                 </w:t>
            </w:r>
          </w:p>
        </w:tc>
      </w:tr>
    </w:tbl>
    <w:p w14:paraId="661D2EE9" w14:textId="77777777" w:rsidR="00F34D1F" w:rsidRPr="001F0F0C" w:rsidRDefault="00F34D1F" w:rsidP="00BD4CDB">
      <w:pPr>
        <w:spacing w:after="0" w:line="240" w:lineRule="auto"/>
        <w:jc w:val="both"/>
        <w:rPr>
          <w:rFonts w:ascii="Arial" w:hAnsi="Arial" w:cs="Arial"/>
          <w:b/>
        </w:rPr>
      </w:pPr>
      <w:r w:rsidRPr="001F0F0C">
        <w:rPr>
          <w:rFonts w:ascii="Arial" w:hAnsi="Arial"/>
          <w:b/>
        </w:rPr>
        <w:t>8. Requirements for work schedule.</w:t>
      </w:r>
    </w:p>
    <w:tbl>
      <w:tblPr>
        <w:tblStyle w:val="TableGrid"/>
        <w:tblW w:w="0" w:type="auto"/>
        <w:tblLook w:val="04A0" w:firstRow="1" w:lastRow="0" w:firstColumn="1" w:lastColumn="0" w:noHBand="0" w:noVBand="1"/>
      </w:tblPr>
      <w:tblGrid>
        <w:gridCol w:w="9638"/>
      </w:tblGrid>
      <w:tr w:rsidR="00F31817" w:rsidRPr="001F0F0C" w14:paraId="1DF7A722" w14:textId="77777777" w:rsidTr="00F31817">
        <w:tc>
          <w:tcPr>
            <w:tcW w:w="9854" w:type="dxa"/>
            <w:tcBorders>
              <w:top w:val="nil"/>
              <w:left w:val="nil"/>
              <w:bottom w:val="nil"/>
              <w:right w:val="nil"/>
            </w:tcBorders>
          </w:tcPr>
          <w:p w14:paraId="089D84AD" w14:textId="77777777" w:rsidR="00F31817" w:rsidRPr="001F0F0C" w:rsidRDefault="00F31817" w:rsidP="00BD4CDB">
            <w:pPr>
              <w:jc w:val="both"/>
              <w:rPr>
                <w:rFonts w:ascii="Arial" w:hAnsi="Arial" w:cs="Arial"/>
              </w:rPr>
            </w:pPr>
          </w:p>
        </w:tc>
      </w:tr>
      <w:tr w:rsidR="00F31817" w:rsidRPr="001F0F0C" w14:paraId="04C1CD8D" w14:textId="77777777" w:rsidTr="00F31817">
        <w:tc>
          <w:tcPr>
            <w:tcW w:w="9854" w:type="dxa"/>
            <w:tcBorders>
              <w:top w:val="nil"/>
              <w:left w:val="nil"/>
              <w:bottom w:val="nil"/>
              <w:right w:val="nil"/>
            </w:tcBorders>
          </w:tcPr>
          <w:p w14:paraId="40D3855D" w14:textId="056DC5DD" w:rsidR="00F31817" w:rsidRPr="001F0F0C" w:rsidRDefault="003B5F6F" w:rsidP="009F1801">
            <w:pPr>
              <w:jc w:val="both"/>
              <w:rPr>
                <w:rFonts w:ascii="Arial" w:hAnsi="Arial" w:cs="Arial"/>
              </w:rPr>
            </w:pPr>
            <w:r w:rsidRPr="001F0F0C">
              <w:rPr>
                <w:rFonts w:ascii="Arial" w:hAnsi="Arial"/>
              </w:rPr>
              <w:t>Work schedule shall be developed by the Contractor and approved by the Owner. Deadline for work completion: 31 October 2026.</w:t>
            </w:r>
          </w:p>
          <w:p w14:paraId="0DB01B9A" w14:textId="77777777" w:rsidR="00987011" w:rsidRPr="001F0F0C" w:rsidRDefault="00987011" w:rsidP="009F1801">
            <w:pPr>
              <w:jc w:val="both"/>
              <w:rPr>
                <w:rFonts w:ascii="Arial" w:hAnsi="Arial" w:cs="Arial"/>
              </w:rPr>
            </w:pPr>
          </w:p>
          <w:p w14:paraId="381F9C1E" w14:textId="77777777" w:rsidR="00987011" w:rsidRPr="001F0F0C" w:rsidRDefault="00987011" w:rsidP="009F1801">
            <w:pPr>
              <w:jc w:val="both"/>
              <w:rPr>
                <w:rFonts w:ascii="Arial" w:hAnsi="Arial" w:cs="Arial"/>
                <w:b/>
              </w:rPr>
            </w:pPr>
            <w:r w:rsidRPr="001F0F0C">
              <w:rPr>
                <w:rFonts w:ascii="Arial" w:hAnsi="Arial"/>
                <w:b/>
              </w:rPr>
              <w:t xml:space="preserve">9. </w:t>
            </w:r>
            <w:r w:rsidRPr="001F0F0C">
              <w:rPr>
                <w:rFonts w:ascii="Arial" w:hAnsi="Arial"/>
                <w:b/>
                <w:bCs/>
              </w:rPr>
              <w:t>Cost estimation.</w:t>
            </w:r>
          </w:p>
          <w:p w14:paraId="2FB4F514" w14:textId="77777777" w:rsidR="00987011" w:rsidRPr="001F0F0C" w:rsidRDefault="00987011" w:rsidP="009F1801">
            <w:pPr>
              <w:jc w:val="both"/>
              <w:rPr>
                <w:rFonts w:ascii="Arial" w:hAnsi="Arial" w:cs="Arial"/>
              </w:rPr>
            </w:pPr>
          </w:p>
          <w:p w14:paraId="4C2AD35C" w14:textId="77777777" w:rsidR="00987011" w:rsidRPr="001F0F0C" w:rsidRDefault="00987011" w:rsidP="009F1801">
            <w:pPr>
              <w:jc w:val="both"/>
              <w:rPr>
                <w:rFonts w:ascii="Arial" w:hAnsi="Arial" w:cs="Arial"/>
              </w:rPr>
            </w:pPr>
            <w:r w:rsidRPr="001F0F0C">
              <w:rPr>
                <w:rFonts w:ascii="Arial" w:hAnsi="Arial"/>
              </w:rPr>
              <w:t>Contractor shall prepare a cost estimate and provide it to the Owner, specifying separately:</w:t>
            </w:r>
          </w:p>
          <w:p w14:paraId="21FB5B1F" w14:textId="77777777" w:rsidR="00987011" w:rsidRPr="001F0F0C" w:rsidRDefault="00987011" w:rsidP="00987011">
            <w:pPr>
              <w:pStyle w:val="ListParagraph"/>
              <w:numPr>
                <w:ilvl w:val="0"/>
                <w:numId w:val="7"/>
              </w:numPr>
              <w:jc w:val="both"/>
              <w:rPr>
                <w:rFonts w:ascii="Arial" w:hAnsi="Arial" w:cs="Arial"/>
              </w:rPr>
            </w:pPr>
            <w:r w:rsidRPr="001F0F0C">
              <w:rPr>
                <w:rFonts w:ascii="Arial" w:hAnsi="Arial"/>
              </w:rPr>
              <w:t>The price of detailed design development and coordination with the Owner and land lot owners;</w:t>
            </w:r>
          </w:p>
          <w:p w14:paraId="7E9A2E6B" w14:textId="53628523" w:rsidR="00987011" w:rsidRPr="001F0F0C" w:rsidRDefault="00987011" w:rsidP="00F677FE">
            <w:pPr>
              <w:pStyle w:val="ListParagraph"/>
              <w:numPr>
                <w:ilvl w:val="0"/>
                <w:numId w:val="7"/>
              </w:numPr>
              <w:jc w:val="both"/>
              <w:rPr>
                <w:rFonts w:ascii="Arial" w:hAnsi="Arial" w:cs="Arial"/>
              </w:rPr>
            </w:pPr>
            <w:r w:rsidRPr="001F0F0C">
              <w:rPr>
                <w:rFonts w:ascii="Arial" w:hAnsi="Arial"/>
              </w:rPr>
              <w:t>The price of CPS and replacement works.</w:t>
            </w:r>
          </w:p>
          <w:p w14:paraId="7BF3B6FA" w14:textId="129295E3" w:rsidR="005530A6" w:rsidRPr="001F0F0C" w:rsidRDefault="00FD2637" w:rsidP="005530A6">
            <w:pPr>
              <w:pStyle w:val="ListParagraph"/>
              <w:numPr>
                <w:ilvl w:val="0"/>
                <w:numId w:val="7"/>
              </w:numPr>
              <w:jc w:val="both"/>
              <w:rPr>
                <w:rFonts w:ascii="Arial" w:hAnsi="Arial" w:cs="Arial"/>
              </w:rPr>
            </w:pPr>
            <w:r w:rsidRPr="001F0F0C">
              <w:rPr>
                <w:rFonts w:ascii="Arial" w:hAnsi="Arial"/>
              </w:rPr>
              <w:t xml:space="preserve">The price of all other activities not included in a) and b)  (if any). </w:t>
            </w:r>
          </w:p>
          <w:p w14:paraId="4FBF9B9E" w14:textId="77777777" w:rsidR="00F31817" w:rsidRPr="001F0F0C" w:rsidRDefault="00F31817" w:rsidP="009F1801">
            <w:pPr>
              <w:jc w:val="both"/>
              <w:rPr>
                <w:rFonts w:ascii="Arial" w:hAnsi="Arial" w:cs="Arial"/>
              </w:rPr>
            </w:pPr>
            <w:r w:rsidRPr="001F0F0C">
              <w:rPr>
                <w:rFonts w:ascii="Arial" w:hAnsi="Arial"/>
              </w:rPr>
              <w:t xml:space="preserve">                                                                   </w:t>
            </w:r>
          </w:p>
        </w:tc>
      </w:tr>
    </w:tbl>
    <w:p w14:paraId="458B6BB2" w14:textId="77777777" w:rsidR="00F31817" w:rsidRPr="005D7482" w:rsidRDefault="00F31817">
      <w:pPr>
        <w:spacing w:after="0" w:line="240" w:lineRule="auto"/>
        <w:jc w:val="both"/>
        <w:rPr>
          <w:rFonts w:ascii="Arial" w:hAnsi="Arial" w:cs="Arial"/>
        </w:rPr>
      </w:pPr>
    </w:p>
    <w:sectPr w:rsidR="00F31817" w:rsidRPr="005D7482">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E1E59" w14:textId="77777777" w:rsidR="00956F29" w:rsidRDefault="00956F29" w:rsidP="005D7482">
      <w:pPr>
        <w:spacing w:after="0" w:line="240" w:lineRule="auto"/>
      </w:pPr>
      <w:r>
        <w:separator/>
      </w:r>
    </w:p>
  </w:endnote>
  <w:endnote w:type="continuationSeparator" w:id="0">
    <w:p w14:paraId="469EDBA5" w14:textId="77777777" w:rsidR="00956F29" w:rsidRDefault="00956F29"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85CDC" w14:textId="77777777" w:rsidR="00956F29" w:rsidRDefault="00956F29" w:rsidP="005D7482">
      <w:pPr>
        <w:spacing w:after="0" w:line="240" w:lineRule="auto"/>
      </w:pPr>
      <w:r>
        <w:separator/>
      </w:r>
    </w:p>
  </w:footnote>
  <w:footnote w:type="continuationSeparator" w:id="0">
    <w:p w14:paraId="38BDD11D" w14:textId="77777777" w:rsidR="00956F29" w:rsidRDefault="00956F29"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6A60" w14:textId="166B239E" w:rsidR="00CA211D" w:rsidRPr="00CA211D" w:rsidRDefault="00CA211D" w:rsidP="00CA211D">
    <w:pPr>
      <w:tabs>
        <w:tab w:val="center" w:pos="4819"/>
        <w:tab w:val="right" w:pos="9638"/>
      </w:tabs>
      <w:spacing w:after="0" w:line="240" w:lineRule="auto"/>
      <w:jc w:val="right"/>
      <w:rPr>
        <w:rFonts w:ascii="Arial" w:hAnsi="Arial" w:cs="Arial"/>
        <w:sz w:val="24"/>
        <w:szCs w:val="24"/>
      </w:rPr>
    </w:pPr>
    <w:r>
      <w:rPr>
        <w:rFonts w:ascii="Arial" w:hAnsi="Arial"/>
        <w:sz w:val="24"/>
      </w:rPr>
      <w:t>Date: 2025-12-18, Rev. 1</w:t>
    </w:r>
  </w:p>
  <w:p w14:paraId="02E7B414" w14:textId="77777777" w:rsidR="005D7482" w:rsidRDefault="005D7482" w:rsidP="005D7482">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0DF41685" w14:textId="667E947D" w:rsidR="007510A9" w:rsidRPr="007510A9" w:rsidRDefault="002D5F65" w:rsidP="005D7482">
    <w:pPr>
      <w:tabs>
        <w:tab w:val="center" w:pos="4819"/>
        <w:tab w:val="right" w:pos="9638"/>
      </w:tabs>
      <w:spacing w:after="0" w:line="240" w:lineRule="auto"/>
      <w:jc w:val="center"/>
      <w:rPr>
        <w:rFonts w:ascii="Arial" w:hAnsi="Arial" w:cs="Arial"/>
        <w:b/>
        <w:i/>
        <w:sz w:val="40"/>
        <w:szCs w:val="40"/>
      </w:rPr>
    </w:pPr>
    <w:r>
      <w:rPr>
        <w:rFonts w:ascii="Arial" w:hAnsi="Arial"/>
        <w:b/>
        <w:i/>
        <w:sz w:val="40"/>
      </w:rPr>
      <w:t xml:space="preserve">Replacement of cathodic protections stations for Mažeikiai–Būtingė pipeline </w:t>
    </w:r>
  </w:p>
  <w:p w14:paraId="6810A915" w14:textId="77777777" w:rsidR="005D7482" w:rsidRDefault="005D74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840E9"/>
    <w:multiLevelType w:val="hybridMultilevel"/>
    <w:tmpl w:val="C35C1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C733F0C"/>
    <w:multiLevelType w:val="multilevel"/>
    <w:tmpl w:val="9B6C1C10"/>
    <w:lvl w:ilvl="0">
      <w:start w:val="2"/>
      <w:numFmt w:val="decimal"/>
      <w:lvlText w:val="%1."/>
      <w:lvlJc w:val="left"/>
      <w:pPr>
        <w:ind w:left="360" w:hanging="360"/>
      </w:pPr>
      <w:rPr>
        <w:rFonts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B751E07"/>
    <w:multiLevelType w:val="multilevel"/>
    <w:tmpl w:val="8AF0AE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B840695"/>
    <w:multiLevelType w:val="hybridMultilevel"/>
    <w:tmpl w:val="945AA3BC"/>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81168EA"/>
    <w:multiLevelType w:val="hybridMultilevel"/>
    <w:tmpl w:val="A532DF94"/>
    <w:lvl w:ilvl="0" w:tplc="04270017">
      <w:start w:val="1"/>
      <w:numFmt w:val="lowerLetter"/>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9092E7C"/>
    <w:multiLevelType w:val="hybridMultilevel"/>
    <w:tmpl w:val="F9CA7F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A723536"/>
    <w:multiLevelType w:val="hybridMultilevel"/>
    <w:tmpl w:val="465EEBB6"/>
    <w:lvl w:ilvl="0" w:tplc="9D80DCDC">
      <w:start w:val="1"/>
      <w:numFmt w:val="bullet"/>
      <w:lvlText w:val=""/>
      <w:lvlJc w:val="left"/>
      <w:pPr>
        <w:tabs>
          <w:tab w:val="num" w:pos="1260"/>
        </w:tabs>
        <w:ind w:left="1260" w:hanging="360"/>
      </w:pPr>
      <w:rPr>
        <w:rFonts w:ascii="Symbol" w:hAnsi="Symbol" w:hint="default"/>
      </w:rPr>
    </w:lvl>
    <w:lvl w:ilvl="1" w:tplc="0427000F">
      <w:start w:val="1"/>
      <w:numFmt w:val="decimal"/>
      <w:lvlText w:val="%2."/>
      <w:lvlJc w:val="left"/>
      <w:pPr>
        <w:tabs>
          <w:tab w:val="num" w:pos="1260"/>
        </w:tabs>
        <w:ind w:left="1260" w:hanging="360"/>
      </w:pPr>
      <w:rPr>
        <w:rFonts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663122981">
    <w:abstractNumId w:val="6"/>
  </w:num>
  <w:num w:numId="2" w16cid:durableId="1928616816">
    <w:abstractNumId w:val="2"/>
  </w:num>
  <w:num w:numId="3" w16cid:durableId="356659180">
    <w:abstractNumId w:val="1"/>
  </w:num>
  <w:num w:numId="4" w16cid:durableId="1504005123">
    <w:abstractNumId w:val="3"/>
  </w:num>
  <w:num w:numId="5" w16cid:durableId="1010108662">
    <w:abstractNumId w:val="0"/>
  </w:num>
  <w:num w:numId="6" w16cid:durableId="1316834005">
    <w:abstractNumId w:val="5"/>
  </w:num>
  <w:num w:numId="7" w16cid:durableId="13659852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03174"/>
    <w:rsid w:val="0000501D"/>
    <w:rsid w:val="00020332"/>
    <w:rsid w:val="00022B09"/>
    <w:rsid w:val="00040CFD"/>
    <w:rsid w:val="00045BE1"/>
    <w:rsid w:val="000725AC"/>
    <w:rsid w:val="000735CB"/>
    <w:rsid w:val="00075DF1"/>
    <w:rsid w:val="000A12C8"/>
    <w:rsid w:val="000B2721"/>
    <w:rsid w:val="000B5E98"/>
    <w:rsid w:val="000C6142"/>
    <w:rsid w:val="000D1A62"/>
    <w:rsid w:val="000D7D3D"/>
    <w:rsid w:val="0011703E"/>
    <w:rsid w:val="001266EA"/>
    <w:rsid w:val="00140B51"/>
    <w:rsid w:val="00155AF1"/>
    <w:rsid w:val="001862E5"/>
    <w:rsid w:val="00186A20"/>
    <w:rsid w:val="00191A1F"/>
    <w:rsid w:val="001C3E95"/>
    <w:rsid w:val="001D1696"/>
    <w:rsid w:val="001F0735"/>
    <w:rsid w:val="001F0CCD"/>
    <w:rsid w:val="001F0F0C"/>
    <w:rsid w:val="001F3A4E"/>
    <w:rsid w:val="00202A47"/>
    <w:rsid w:val="002840DA"/>
    <w:rsid w:val="00284890"/>
    <w:rsid w:val="002857F3"/>
    <w:rsid w:val="00285E9C"/>
    <w:rsid w:val="002A2AC2"/>
    <w:rsid w:val="002A7EF2"/>
    <w:rsid w:val="002B74C0"/>
    <w:rsid w:val="002C1BDC"/>
    <w:rsid w:val="002C7527"/>
    <w:rsid w:val="002C76F5"/>
    <w:rsid w:val="002D5F65"/>
    <w:rsid w:val="002F1645"/>
    <w:rsid w:val="003166AF"/>
    <w:rsid w:val="003247EA"/>
    <w:rsid w:val="00336146"/>
    <w:rsid w:val="00337910"/>
    <w:rsid w:val="00340535"/>
    <w:rsid w:val="00346B26"/>
    <w:rsid w:val="003537E6"/>
    <w:rsid w:val="00355130"/>
    <w:rsid w:val="00364F88"/>
    <w:rsid w:val="00370842"/>
    <w:rsid w:val="0038413C"/>
    <w:rsid w:val="00395546"/>
    <w:rsid w:val="003A2DA0"/>
    <w:rsid w:val="003A7A52"/>
    <w:rsid w:val="003B2511"/>
    <w:rsid w:val="003B393A"/>
    <w:rsid w:val="003B5F6F"/>
    <w:rsid w:val="003C17B2"/>
    <w:rsid w:val="003D2A8F"/>
    <w:rsid w:val="003E0118"/>
    <w:rsid w:val="003E33FF"/>
    <w:rsid w:val="003E4AFE"/>
    <w:rsid w:val="003F3460"/>
    <w:rsid w:val="00410997"/>
    <w:rsid w:val="00425BF1"/>
    <w:rsid w:val="004307BD"/>
    <w:rsid w:val="00430D46"/>
    <w:rsid w:val="004420C7"/>
    <w:rsid w:val="004522B8"/>
    <w:rsid w:val="00455A47"/>
    <w:rsid w:val="00464B11"/>
    <w:rsid w:val="00467633"/>
    <w:rsid w:val="00483ED9"/>
    <w:rsid w:val="004A149C"/>
    <w:rsid w:val="004A501B"/>
    <w:rsid w:val="004B64AA"/>
    <w:rsid w:val="004C0A99"/>
    <w:rsid w:val="004C361A"/>
    <w:rsid w:val="004C4A30"/>
    <w:rsid w:val="004D5D07"/>
    <w:rsid w:val="004E06E8"/>
    <w:rsid w:val="004E6197"/>
    <w:rsid w:val="005163BA"/>
    <w:rsid w:val="00520E62"/>
    <w:rsid w:val="00525DB6"/>
    <w:rsid w:val="00542AD1"/>
    <w:rsid w:val="00543A5C"/>
    <w:rsid w:val="005530A6"/>
    <w:rsid w:val="00557844"/>
    <w:rsid w:val="00563448"/>
    <w:rsid w:val="00564D01"/>
    <w:rsid w:val="00581D9A"/>
    <w:rsid w:val="00585591"/>
    <w:rsid w:val="005A0519"/>
    <w:rsid w:val="005B1897"/>
    <w:rsid w:val="005B3475"/>
    <w:rsid w:val="005B64D2"/>
    <w:rsid w:val="005D5818"/>
    <w:rsid w:val="005D705D"/>
    <w:rsid w:val="005D7482"/>
    <w:rsid w:val="005E744C"/>
    <w:rsid w:val="006035F3"/>
    <w:rsid w:val="00616566"/>
    <w:rsid w:val="006376C8"/>
    <w:rsid w:val="006552EE"/>
    <w:rsid w:val="00660D20"/>
    <w:rsid w:val="00663DA4"/>
    <w:rsid w:val="00676DDC"/>
    <w:rsid w:val="00683FB8"/>
    <w:rsid w:val="00691C1C"/>
    <w:rsid w:val="006948FC"/>
    <w:rsid w:val="006B220F"/>
    <w:rsid w:val="006B40A1"/>
    <w:rsid w:val="006B4EB0"/>
    <w:rsid w:val="006B7EBA"/>
    <w:rsid w:val="006C0220"/>
    <w:rsid w:val="006C08F9"/>
    <w:rsid w:val="00700283"/>
    <w:rsid w:val="00716EDC"/>
    <w:rsid w:val="00737500"/>
    <w:rsid w:val="00744145"/>
    <w:rsid w:val="0074454F"/>
    <w:rsid w:val="007510A9"/>
    <w:rsid w:val="007566A5"/>
    <w:rsid w:val="00793E2F"/>
    <w:rsid w:val="00797006"/>
    <w:rsid w:val="00797C60"/>
    <w:rsid w:val="00797EE9"/>
    <w:rsid w:val="007A38D3"/>
    <w:rsid w:val="007B65D8"/>
    <w:rsid w:val="007C6670"/>
    <w:rsid w:val="007D2D3B"/>
    <w:rsid w:val="007D72C6"/>
    <w:rsid w:val="007E50F5"/>
    <w:rsid w:val="007F02CD"/>
    <w:rsid w:val="007F5C8A"/>
    <w:rsid w:val="007F76AC"/>
    <w:rsid w:val="007F7844"/>
    <w:rsid w:val="00806C0F"/>
    <w:rsid w:val="00807E17"/>
    <w:rsid w:val="00823EC5"/>
    <w:rsid w:val="0083068F"/>
    <w:rsid w:val="0084112D"/>
    <w:rsid w:val="0085758C"/>
    <w:rsid w:val="00866559"/>
    <w:rsid w:val="00881A14"/>
    <w:rsid w:val="00890C0B"/>
    <w:rsid w:val="008949C9"/>
    <w:rsid w:val="00896FF6"/>
    <w:rsid w:val="008A3046"/>
    <w:rsid w:val="008A3C5D"/>
    <w:rsid w:val="008A3F82"/>
    <w:rsid w:val="008B1BB2"/>
    <w:rsid w:val="008D7C6C"/>
    <w:rsid w:val="008E0786"/>
    <w:rsid w:val="008E558C"/>
    <w:rsid w:val="008F4315"/>
    <w:rsid w:val="00901078"/>
    <w:rsid w:val="00907089"/>
    <w:rsid w:val="00910418"/>
    <w:rsid w:val="009170E1"/>
    <w:rsid w:val="00920EED"/>
    <w:rsid w:val="00921E4E"/>
    <w:rsid w:val="00922E3C"/>
    <w:rsid w:val="00925409"/>
    <w:rsid w:val="00936AB4"/>
    <w:rsid w:val="00956F29"/>
    <w:rsid w:val="00961542"/>
    <w:rsid w:val="00972035"/>
    <w:rsid w:val="00985930"/>
    <w:rsid w:val="00987011"/>
    <w:rsid w:val="009924B3"/>
    <w:rsid w:val="00993118"/>
    <w:rsid w:val="009A719F"/>
    <w:rsid w:val="009B2595"/>
    <w:rsid w:val="009B4F4B"/>
    <w:rsid w:val="009C1F1A"/>
    <w:rsid w:val="009C3E94"/>
    <w:rsid w:val="009E3E6D"/>
    <w:rsid w:val="009F1DF2"/>
    <w:rsid w:val="00A07581"/>
    <w:rsid w:val="00A211F3"/>
    <w:rsid w:val="00A42EF2"/>
    <w:rsid w:val="00A508A5"/>
    <w:rsid w:val="00A618D4"/>
    <w:rsid w:val="00A67AA8"/>
    <w:rsid w:val="00A71191"/>
    <w:rsid w:val="00A9077D"/>
    <w:rsid w:val="00A91E31"/>
    <w:rsid w:val="00A97338"/>
    <w:rsid w:val="00AA24AC"/>
    <w:rsid w:val="00AA537E"/>
    <w:rsid w:val="00AB1A8D"/>
    <w:rsid w:val="00AB24D6"/>
    <w:rsid w:val="00AD4327"/>
    <w:rsid w:val="00AD7873"/>
    <w:rsid w:val="00AE0BD8"/>
    <w:rsid w:val="00AE5658"/>
    <w:rsid w:val="00B26075"/>
    <w:rsid w:val="00B558A5"/>
    <w:rsid w:val="00B56554"/>
    <w:rsid w:val="00B6092F"/>
    <w:rsid w:val="00B60AD6"/>
    <w:rsid w:val="00B626AE"/>
    <w:rsid w:val="00B71789"/>
    <w:rsid w:val="00B77C4C"/>
    <w:rsid w:val="00B82C6F"/>
    <w:rsid w:val="00B8722F"/>
    <w:rsid w:val="00B9008C"/>
    <w:rsid w:val="00BA184D"/>
    <w:rsid w:val="00BA3CD4"/>
    <w:rsid w:val="00BA666A"/>
    <w:rsid w:val="00BB4A6A"/>
    <w:rsid w:val="00BC193C"/>
    <w:rsid w:val="00BD4113"/>
    <w:rsid w:val="00BD4CDB"/>
    <w:rsid w:val="00BE5DEB"/>
    <w:rsid w:val="00BE7C73"/>
    <w:rsid w:val="00BF1EB3"/>
    <w:rsid w:val="00C04082"/>
    <w:rsid w:val="00C057CC"/>
    <w:rsid w:val="00C11914"/>
    <w:rsid w:val="00C21532"/>
    <w:rsid w:val="00C225D6"/>
    <w:rsid w:val="00C3315B"/>
    <w:rsid w:val="00C33ADF"/>
    <w:rsid w:val="00C365F7"/>
    <w:rsid w:val="00C377C8"/>
    <w:rsid w:val="00C377CC"/>
    <w:rsid w:val="00C37E27"/>
    <w:rsid w:val="00C42BAE"/>
    <w:rsid w:val="00C467AE"/>
    <w:rsid w:val="00C6293A"/>
    <w:rsid w:val="00C64F08"/>
    <w:rsid w:val="00C80EAF"/>
    <w:rsid w:val="00C94ADD"/>
    <w:rsid w:val="00CA2005"/>
    <w:rsid w:val="00CA211D"/>
    <w:rsid w:val="00CB3689"/>
    <w:rsid w:val="00CC3F4A"/>
    <w:rsid w:val="00CD2B08"/>
    <w:rsid w:val="00D06FCF"/>
    <w:rsid w:val="00D11D61"/>
    <w:rsid w:val="00D317E5"/>
    <w:rsid w:val="00D37BA9"/>
    <w:rsid w:val="00D61319"/>
    <w:rsid w:val="00D62638"/>
    <w:rsid w:val="00DA3C1F"/>
    <w:rsid w:val="00DB55A6"/>
    <w:rsid w:val="00DE40F3"/>
    <w:rsid w:val="00DE541A"/>
    <w:rsid w:val="00DF209E"/>
    <w:rsid w:val="00E00C39"/>
    <w:rsid w:val="00E1184C"/>
    <w:rsid w:val="00E11884"/>
    <w:rsid w:val="00E23394"/>
    <w:rsid w:val="00E60D73"/>
    <w:rsid w:val="00E73D17"/>
    <w:rsid w:val="00EA7A23"/>
    <w:rsid w:val="00EB4060"/>
    <w:rsid w:val="00EB7DAC"/>
    <w:rsid w:val="00EC5698"/>
    <w:rsid w:val="00EF1217"/>
    <w:rsid w:val="00EF3FA5"/>
    <w:rsid w:val="00EF7F0F"/>
    <w:rsid w:val="00F04D36"/>
    <w:rsid w:val="00F14F67"/>
    <w:rsid w:val="00F22FD9"/>
    <w:rsid w:val="00F24128"/>
    <w:rsid w:val="00F31817"/>
    <w:rsid w:val="00F33D95"/>
    <w:rsid w:val="00F34D1F"/>
    <w:rsid w:val="00F372E0"/>
    <w:rsid w:val="00F408A8"/>
    <w:rsid w:val="00F420BD"/>
    <w:rsid w:val="00F42CD1"/>
    <w:rsid w:val="00F53103"/>
    <w:rsid w:val="00F67099"/>
    <w:rsid w:val="00F677FE"/>
    <w:rsid w:val="00F77455"/>
    <w:rsid w:val="00F86B02"/>
    <w:rsid w:val="00F90EDD"/>
    <w:rsid w:val="00F943EA"/>
    <w:rsid w:val="00FB3AA6"/>
    <w:rsid w:val="00FD09AC"/>
    <w:rsid w:val="00FD0E91"/>
    <w:rsid w:val="00FD2637"/>
    <w:rsid w:val="00FD3423"/>
    <w:rsid w:val="00FD78FD"/>
    <w:rsid w:val="00FE1F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DF082"/>
  <w15:docId w15:val="{704B3BDB-3F12-46D8-A997-45EF9B24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table" w:styleId="TableGrid">
    <w:name w:val="Table Grid"/>
    <w:basedOn w:val="TableNormal"/>
    <w:uiPriority w:val="59"/>
    <w:rsid w:val="00FD3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D4113"/>
    <w:rPr>
      <w:color w:val="808080"/>
    </w:rPr>
  </w:style>
  <w:style w:type="paragraph" w:styleId="BalloonText">
    <w:name w:val="Balloon Text"/>
    <w:basedOn w:val="Normal"/>
    <w:link w:val="BalloonTextChar"/>
    <w:uiPriority w:val="99"/>
    <w:semiHidden/>
    <w:unhideWhenUsed/>
    <w:rsid w:val="00BD4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113"/>
    <w:rPr>
      <w:rFonts w:ascii="Tahoma" w:hAnsi="Tahoma" w:cs="Tahoma"/>
      <w:sz w:val="16"/>
      <w:szCs w:val="16"/>
    </w:rPr>
  </w:style>
  <w:style w:type="character" w:styleId="Hyperlink">
    <w:name w:val="Hyperlink"/>
    <w:basedOn w:val="DefaultParagraphFont"/>
    <w:uiPriority w:val="99"/>
    <w:unhideWhenUsed/>
    <w:rsid w:val="00202A47"/>
    <w:rPr>
      <w:color w:val="0000FF" w:themeColor="hyperlink"/>
      <w:u w:val="single"/>
    </w:rPr>
  </w:style>
  <w:style w:type="paragraph" w:styleId="Revision">
    <w:name w:val="Revision"/>
    <w:hidden/>
    <w:uiPriority w:val="99"/>
    <w:semiHidden/>
    <w:rsid w:val="00616566"/>
    <w:pPr>
      <w:spacing w:after="0" w:line="240" w:lineRule="auto"/>
    </w:pPr>
  </w:style>
  <w:style w:type="paragraph" w:styleId="ListParagraph">
    <w:name w:val="List Paragraph"/>
    <w:basedOn w:val="Normal"/>
    <w:uiPriority w:val="34"/>
    <w:qFormat/>
    <w:rsid w:val="00E60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lietuva.lt/EN/ForBusiness/DocumentsForContractors/Pages/default.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C4A8-C7CB-497C-9B5C-9797D47EB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5442</Words>
  <Characters>3103</Characters>
  <Application>Microsoft Office Word</Application>
  <DocSecurity>0</DocSecurity>
  <Lines>25</Lines>
  <Paragraphs>17</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kristinasv</dc:creator>
  <cp:lastModifiedBy>Mažeikaitė Simona (OLT)</cp:lastModifiedBy>
  <cp:revision>4</cp:revision>
  <dcterms:created xsi:type="dcterms:W3CDTF">2025-12-23T08:47:00Z</dcterms:created>
  <dcterms:modified xsi:type="dcterms:W3CDTF">2026-01-05T07:30:00Z</dcterms:modified>
</cp:coreProperties>
</file>